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2FE" w:rsidRPr="008B66DC" w:rsidRDefault="00ED6B38" w:rsidP="004A7C59">
      <w:pPr>
        <w:jc w:val="center"/>
        <w:rPr>
          <w:rFonts w:ascii="Times New Roman" w:hAnsi="Times New Roman" w:cs="Times New Roman"/>
          <w:b/>
          <w:sz w:val="28"/>
          <w:szCs w:val="24"/>
          <w:lang w:val="pt-BR"/>
        </w:rPr>
      </w:pPr>
      <w:r w:rsidRPr="008B66DC">
        <w:rPr>
          <w:rFonts w:ascii="Times New Roman" w:hAnsi="Times New Roman" w:cs="Times New Roman"/>
          <w:b/>
          <w:sz w:val="24"/>
          <w:szCs w:val="24"/>
          <w:lang w:val="pt-BR"/>
        </w:rPr>
        <w:t>DESAFIOS NA FORMAÇÃO DE COMPETÊNCIAS EM SEGURANÇA DE PROCESSOS E SEGURANÇA OPERACIONAL NO BRASIL</w:t>
      </w:r>
    </w:p>
    <w:p w:rsidR="005F1C0D" w:rsidRPr="008B66DC" w:rsidRDefault="005F1C0D" w:rsidP="004A7C59">
      <w:pPr>
        <w:jc w:val="center"/>
        <w:rPr>
          <w:rFonts w:ascii="Times New Roman" w:hAnsi="Times New Roman" w:cs="Times New Roman"/>
          <w:b/>
          <w:sz w:val="28"/>
          <w:szCs w:val="24"/>
          <w:lang w:val="pt-BR"/>
        </w:rPr>
      </w:pPr>
    </w:p>
    <w:p w:rsidR="00BB52FE" w:rsidRPr="008B66DC" w:rsidRDefault="00DF1AEF" w:rsidP="004A7C59">
      <w:pPr>
        <w:jc w:val="center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>ASSUMPÇÃO, L. C</w:t>
      </w:r>
      <w:r w:rsidR="004A4AE2" w:rsidRPr="008B66DC">
        <w:rPr>
          <w:rFonts w:ascii="Times New Roman" w:hAnsi="Times New Roman" w:cs="Times New Roman"/>
          <w:szCs w:val="24"/>
          <w:vertAlign w:val="superscript"/>
          <w:lang w:val="pt-BR"/>
        </w:rPr>
        <w:t>1</w:t>
      </w:r>
      <w:r w:rsidR="004A4AE2" w:rsidRPr="008B66DC">
        <w:rPr>
          <w:rFonts w:ascii="Times New Roman" w:hAnsi="Times New Roman" w:cs="Times New Roman"/>
          <w:szCs w:val="24"/>
          <w:lang w:val="pt-BR"/>
        </w:rPr>
        <w:t>;</w:t>
      </w:r>
      <w:r w:rsidRPr="008B66DC">
        <w:rPr>
          <w:rFonts w:ascii="Times New Roman" w:hAnsi="Times New Roman" w:cs="Times New Roman"/>
          <w:szCs w:val="24"/>
          <w:lang w:val="pt-BR"/>
        </w:rPr>
        <w:t xml:space="preserve"> F. N., FLORES</w:t>
      </w:r>
      <w:r w:rsidR="004A4AE2" w:rsidRPr="008B66DC">
        <w:rPr>
          <w:rFonts w:ascii="Times New Roman" w:hAnsi="Times New Roman" w:cs="Times New Roman"/>
          <w:szCs w:val="24"/>
          <w:vertAlign w:val="superscript"/>
          <w:lang w:val="pt-BR"/>
        </w:rPr>
        <w:t>1</w:t>
      </w:r>
      <w:r w:rsidRPr="008B66DC">
        <w:rPr>
          <w:rFonts w:ascii="Times New Roman" w:hAnsi="Times New Roman" w:cs="Times New Roman"/>
          <w:szCs w:val="24"/>
          <w:lang w:val="pt-BR"/>
        </w:rPr>
        <w:t xml:space="preserve">, T. M., </w:t>
      </w:r>
      <w:r w:rsidR="007106AE" w:rsidRPr="008B66DC">
        <w:rPr>
          <w:rFonts w:ascii="Times New Roman" w:hAnsi="Times New Roman" w:cs="Times New Roman"/>
          <w:szCs w:val="24"/>
          <w:lang w:val="pt-BR"/>
        </w:rPr>
        <w:t>LACERDA, M</w:t>
      </w:r>
      <w:r w:rsidR="004A4AE2" w:rsidRPr="008B66DC">
        <w:rPr>
          <w:rFonts w:ascii="Times New Roman" w:hAnsi="Times New Roman" w:cs="Times New Roman"/>
          <w:szCs w:val="24"/>
          <w:vertAlign w:val="superscript"/>
          <w:lang w:val="pt-BR"/>
        </w:rPr>
        <w:t>2</w:t>
      </w:r>
      <w:r w:rsidR="007106AE" w:rsidRPr="008B66DC">
        <w:rPr>
          <w:rFonts w:ascii="Times New Roman" w:hAnsi="Times New Roman" w:cs="Times New Roman"/>
          <w:szCs w:val="24"/>
          <w:lang w:val="pt-BR"/>
        </w:rPr>
        <w:t xml:space="preserve">., </w:t>
      </w:r>
      <w:r w:rsidRPr="008B66DC">
        <w:rPr>
          <w:rFonts w:ascii="Times New Roman" w:hAnsi="Times New Roman" w:cs="Times New Roman"/>
          <w:szCs w:val="24"/>
          <w:lang w:val="pt-BR"/>
        </w:rPr>
        <w:t>PARENTE</w:t>
      </w:r>
      <w:r w:rsidR="004A4AE2" w:rsidRPr="008B66DC">
        <w:rPr>
          <w:rFonts w:ascii="Times New Roman" w:hAnsi="Times New Roman" w:cs="Times New Roman"/>
          <w:szCs w:val="24"/>
          <w:vertAlign w:val="superscript"/>
          <w:lang w:val="pt-BR"/>
        </w:rPr>
        <w:t>1</w:t>
      </w:r>
      <w:r w:rsidRPr="008B66DC">
        <w:rPr>
          <w:rFonts w:ascii="Times New Roman" w:hAnsi="Times New Roman" w:cs="Times New Roman"/>
          <w:szCs w:val="24"/>
          <w:lang w:val="pt-BR"/>
        </w:rPr>
        <w:t>, A., PICARDO</w:t>
      </w:r>
      <w:r w:rsidR="004A4AE2" w:rsidRPr="008B66DC">
        <w:rPr>
          <w:rFonts w:ascii="Times New Roman" w:hAnsi="Times New Roman" w:cs="Times New Roman"/>
          <w:szCs w:val="24"/>
          <w:vertAlign w:val="superscript"/>
          <w:lang w:val="pt-BR"/>
        </w:rPr>
        <w:t>1</w:t>
      </w:r>
      <w:r w:rsidRPr="008B66DC">
        <w:rPr>
          <w:rFonts w:ascii="Times New Roman" w:hAnsi="Times New Roman" w:cs="Times New Roman"/>
          <w:szCs w:val="24"/>
          <w:lang w:val="pt-BR"/>
        </w:rPr>
        <w:t xml:space="preserve">, M. C., </w:t>
      </w:r>
      <w:r w:rsidR="007106AE" w:rsidRPr="008B66DC">
        <w:rPr>
          <w:rFonts w:ascii="Times New Roman" w:hAnsi="Times New Roman" w:cs="Times New Roman"/>
          <w:szCs w:val="24"/>
          <w:lang w:val="pt-BR"/>
        </w:rPr>
        <w:t>RIBEIRO, A</w:t>
      </w:r>
      <w:r w:rsidR="004A4AE2" w:rsidRPr="008B66DC">
        <w:rPr>
          <w:rFonts w:ascii="Times New Roman" w:hAnsi="Times New Roman" w:cs="Times New Roman"/>
          <w:szCs w:val="24"/>
          <w:vertAlign w:val="superscript"/>
          <w:lang w:val="pt-BR"/>
        </w:rPr>
        <w:t>3</w:t>
      </w:r>
      <w:r w:rsidR="007106AE" w:rsidRPr="008B66DC">
        <w:rPr>
          <w:rFonts w:ascii="Times New Roman" w:hAnsi="Times New Roman" w:cs="Times New Roman"/>
          <w:szCs w:val="24"/>
          <w:lang w:val="pt-BR"/>
        </w:rPr>
        <w:t>.</w:t>
      </w:r>
    </w:p>
    <w:p w:rsidR="006311E0" w:rsidRPr="008B66DC" w:rsidRDefault="00541FAF" w:rsidP="003D38A7">
      <w:pPr>
        <w:autoSpaceDE w:val="0"/>
        <w:autoSpaceDN w:val="0"/>
        <w:adjustRightInd w:val="0"/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66DC">
        <w:rPr>
          <w:rFonts w:ascii="Times New Roman" w:hAnsi="Times New Roman" w:cs="Times New Roman"/>
          <w:b/>
          <w:sz w:val="24"/>
          <w:szCs w:val="24"/>
        </w:rPr>
        <w:t>ABSTRACT</w:t>
      </w:r>
    </w:p>
    <w:p w:rsidR="00625CDA" w:rsidRPr="008B66DC" w:rsidRDefault="00625CDA" w:rsidP="00155C96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</w:rPr>
      </w:pPr>
      <w:r w:rsidRPr="008B66DC">
        <w:rPr>
          <w:rFonts w:ascii="Times New Roman" w:hAnsi="Times New Roman" w:cs="Times New Roman"/>
        </w:rPr>
        <w:t>T</w:t>
      </w:r>
      <w:r w:rsidR="00F7586A" w:rsidRPr="008B66DC">
        <w:rPr>
          <w:rFonts w:ascii="Times New Roman" w:hAnsi="Times New Roman" w:cs="Times New Roman"/>
        </w:rPr>
        <w:t>raining and education onPlant and P</w:t>
      </w:r>
      <w:r w:rsidRPr="008B66DC">
        <w:rPr>
          <w:rFonts w:ascii="Times New Roman" w:hAnsi="Times New Roman" w:cs="Times New Roman"/>
        </w:rPr>
        <w:t xml:space="preserve">rocess </w:t>
      </w:r>
      <w:r w:rsidR="00F7586A" w:rsidRPr="008B66DC">
        <w:rPr>
          <w:rFonts w:ascii="Times New Roman" w:hAnsi="Times New Roman" w:cs="Times New Roman"/>
        </w:rPr>
        <w:t>S</w:t>
      </w:r>
      <w:r w:rsidRPr="008B66DC">
        <w:rPr>
          <w:rFonts w:ascii="Times New Roman" w:hAnsi="Times New Roman" w:cs="Times New Roman"/>
        </w:rPr>
        <w:t xml:space="preserve">afety </w:t>
      </w:r>
      <w:r w:rsidR="00F7586A" w:rsidRPr="008B66DC">
        <w:rPr>
          <w:rFonts w:ascii="Times New Roman" w:hAnsi="Times New Roman" w:cs="Times New Roman"/>
        </w:rPr>
        <w:t xml:space="preserve">(PPS) </w:t>
      </w:r>
      <w:r w:rsidRPr="008B66DC">
        <w:rPr>
          <w:rFonts w:ascii="Times New Roman" w:hAnsi="Times New Roman" w:cs="Times New Roman"/>
        </w:rPr>
        <w:t>is still a challenge in Brazilian industries. This issue has become a worldwide concern with the Seveso accident (1976)</w:t>
      </w:r>
      <w:r w:rsidR="00F7586A" w:rsidRPr="008B66DC">
        <w:rPr>
          <w:rFonts w:ascii="Times New Roman" w:hAnsi="Times New Roman" w:cs="Times New Roman"/>
        </w:rPr>
        <w:t xml:space="preserve">. After this accident </w:t>
      </w:r>
      <w:r w:rsidRPr="008B66DC">
        <w:rPr>
          <w:rFonts w:ascii="Times New Roman" w:hAnsi="Times New Roman" w:cs="Times New Roman"/>
        </w:rPr>
        <w:t xml:space="preserve">the chemical industry </w:t>
      </w:r>
      <w:r w:rsidR="0097592B" w:rsidRPr="008B66DC">
        <w:rPr>
          <w:rFonts w:ascii="Times New Roman" w:hAnsi="Times New Roman" w:cs="Times New Roman"/>
        </w:rPr>
        <w:t>started to have</w:t>
      </w:r>
      <w:r w:rsidRPr="008B66DC">
        <w:rPr>
          <w:rFonts w:ascii="Times New Roman" w:hAnsi="Times New Roman" w:cs="Times New Roman"/>
        </w:rPr>
        <w:t xml:space="preserve"> process safety regulations </w:t>
      </w:r>
      <w:r w:rsidR="00F7586A" w:rsidRPr="008B66DC">
        <w:rPr>
          <w:rFonts w:ascii="Times New Roman" w:hAnsi="Times New Roman" w:cs="Times New Roman"/>
        </w:rPr>
        <w:t xml:space="preserve">in </w:t>
      </w:r>
      <w:r w:rsidRPr="008B66DC">
        <w:rPr>
          <w:rFonts w:ascii="Times New Roman" w:hAnsi="Times New Roman" w:cs="Times New Roman"/>
        </w:rPr>
        <w:t xml:space="preserve">Europe (Seveso Directive). Subsequently, the Bhopal accident (1984) and several others motivated large chemical industries to set up specific departments </w:t>
      </w:r>
      <w:r w:rsidR="0097592B" w:rsidRPr="008B66DC">
        <w:rPr>
          <w:rFonts w:ascii="Times New Roman" w:hAnsi="Times New Roman" w:cs="Times New Roman"/>
        </w:rPr>
        <w:t>within the companies</w:t>
      </w:r>
      <w:r w:rsidRPr="008B66DC">
        <w:rPr>
          <w:rFonts w:ascii="Times New Roman" w:hAnsi="Times New Roman" w:cs="Times New Roman"/>
        </w:rPr>
        <w:t xml:space="preserve"> just to take care of </w:t>
      </w:r>
      <w:r w:rsidR="00F7586A" w:rsidRPr="008B66DC">
        <w:rPr>
          <w:rFonts w:ascii="Times New Roman" w:hAnsi="Times New Roman" w:cs="Times New Roman"/>
        </w:rPr>
        <w:t>PPS</w:t>
      </w:r>
      <w:r w:rsidR="0075224A" w:rsidRPr="008B66DC">
        <w:rPr>
          <w:rFonts w:ascii="Times New Roman" w:hAnsi="Times New Roman" w:cs="Times New Roman"/>
        </w:rPr>
        <w:t>.</w:t>
      </w:r>
      <w:r w:rsidRPr="008B66DC">
        <w:rPr>
          <w:rFonts w:ascii="Times New Roman" w:hAnsi="Times New Roman" w:cs="Times New Roman"/>
        </w:rPr>
        <w:t xml:space="preserve"> The first step was to create their own codes of conduct for the safety of their production processes to ensure their sustainability worldwide. The second step, for </w:t>
      </w:r>
      <w:r w:rsidR="00F7586A" w:rsidRPr="008B66DC">
        <w:rPr>
          <w:rFonts w:ascii="Times New Roman" w:hAnsi="Times New Roman" w:cs="Times New Roman"/>
        </w:rPr>
        <w:t xml:space="preserve">a </w:t>
      </w:r>
      <w:r w:rsidRPr="008B66DC">
        <w:rPr>
          <w:rFonts w:ascii="Times New Roman" w:hAnsi="Times New Roman" w:cs="Times New Roman"/>
        </w:rPr>
        <w:t>proper</w:t>
      </w:r>
      <w:r w:rsidR="00F7586A" w:rsidRPr="008B66DC">
        <w:rPr>
          <w:rFonts w:ascii="Times New Roman" w:hAnsi="Times New Roman" w:cs="Times New Roman"/>
        </w:rPr>
        <w:t xml:space="preserve"> PPS governance,</w:t>
      </w:r>
      <w:r w:rsidRPr="008B66DC">
        <w:rPr>
          <w:rFonts w:ascii="Times New Roman" w:hAnsi="Times New Roman" w:cs="Times New Roman"/>
        </w:rPr>
        <w:t xml:space="preserve"> was the training of employees' competencies, starting with the specific training of process safety specialists, as well as further training for their design, automation and maintenance engineers, </w:t>
      </w:r>
      <w:r w:rsidR="00316C9B" w:rsidRPr="008B66DC">
        <w:rPr>
          <w:rFonts w:ascii="Times New Roman" w:hAnsi="Times New Roman" w:cs="Times New Roman"/>
        </w:rPr>
        <w:t>including</w:t>
      </w:r>
      <w:r w:rsidRPr="008B66DC">
        <w:rPr>
          <w:rFonts w:ascii="Times New Roman" w:hAnsi="Times New Roman" w:cs="Times New Roman"/>
        </w:rPr>
        <w:t xml:space="preserve"> those responsible for </w:t>
      </w:r>
      <w:r w:rsidR="0097592B" w:rsidRPr="008B66DC">
        <w:rPr>
          <w:rFonts w:ascii="Times New Roman" w:hAnsi="Times New Roman" w:cs="Times New Roman"/>
        </w:rPr>
        <w:t xml:space="preserve">the </w:t>
      </w:r>
      <w:r w:rsidRPr="008B66DC">
        <w:rPr>
          <w:rFonts w:ascii="Times New Roman" w:hAnsi="Times New Roman" w:cs="Times New Roman"/>
        </w:rPr>
        <w:t>production.</w:t>
      </w:r>
      <w:r w:rsidR="00367C20" w:rsidRPr="008B66DC">
        <w:rPr>
          <w:rFonts w:ascii="Times New Roman" w:hAnsi="Times New Roman" w:cs="Times New Roman"/>
        </w:rPr>
        <w:t>Industry</w:t>
      </w:r>
      <w:r w:rsidR="00F7586A" w:rsidRPr="008B66DC">
        <w:rPr>
          <w:rFonts w:ascii="Times New Roman" w:hAnsi="Times New Roman" w:cs="Times New Roman"/>
        </w:rPr>
        <w:t xml:space="preserve"> need</w:t>
      </w:r>
      <w:r w:rsidR="00316C9B" w:rsidRPr="008B66DC">
        <w:rPr>
          <w:rFonts w:ascii="Times New Roman" w:hAnsi="Times New Roman" w:cs="Times New Roman"/>
        </w:rPr>
        <w:t>ed</w:t>
      </w:r>
      <w:r w:rsidR="00F7586A" w:rsidRPr="008B66DC">
        <w:rPr>
          <w:rFonts w:ascii="Times New Roman" w:hAnsi="Times New Roman" w:cs="Times New Roman"/>
        </w:rPr>
        <w:t xml:space="preserve"> to solve this competence gap by their own effort. However </w:t>
      </w:r>
      <w:r w:rsidR="009C20BC" w:rsidRPr="008B66DC">
        <w:rPr>
          <w:rFonts w:ascii="Times New Roman" w:hAnsi="Times New Roman" w:cs="Times New Roman"/>
        </w:rPr>
        <w:t xml:space="preserve">education on PPS in Universities </w:t>
      </w:r>
      <w:r w:rsidR="00367C20" w:rsidRPr="008B66DC">
        <w:rPr>
          <w:rFonts w:ascii="Times New Roman" w:hAnsi="Times New Roman" w:cs="Times New Roman"/>
        </w:rPr>
        <w:t>was</w:t>
      </w:r>
      <w:r w:rsidR="009C20BC" w:rsidRPr="008B66DC">
        <w:rPr>
          <w:rFonts w:ascii="Times New Roman" w:hAnsi="Times New Roman" w:cs="Times New Roman"/>
        </w:rPr>
        <w:t xml:space="preserve"> not clear covered in the same timeline.</w:t>
      </w:r>
    </w:p>
    <w:p w:rsidR="00625CDA" w:rsidRPr="008B66DC" w:rsidRDefault="00625CDA" w:rsidP="00155C96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</w:rPr>
      </w:pPr>
      <w:r w:rsidRPr="008B66DC">
        <w:rPr>
          <w:rFonts w:ascii="Times New Roman" w:hAnsi="Times New Roman" w:cs="Times New Roman"/>
        </w:rPr>
        <w:t xml:space="preserve">This article aims to present a vision, through examples, of how these competencies are formed in the chemical industries in the US, Europe and Brazil. </w:t>
      </w:r>
      <w:r w:rsidR="0097592B" w:rsidRPr="008B66DC">
        <w:rPr>
          <w:rFonts w:ascii="Times New Roman" w:hAnsi="Times New Roman" w:cs="Times New Roman"/>
        </w:rPr>
        <w:t>Also,</w:t>
      </w:r>
      <w:r w:rsidRPr="008B66DC">
        <w:rPr>
          <w:rFonts w:ascii="Times New Roman" w:hAnsi="Times New Roman" w:cs="Times New Roman"/>
        </w:rPr>
        <w:t xml:space="preserve"> present examples </w:t>
      </w:r>
      <w:r w:rsidR="009C20BC" w:rsidRPr="008B66DC">
        <w:rPr>
          <w:rFonts w:ascii="Times New Roman" w:hAnsi="Times New Roman" w:cs="Times New Roman"/>
        </w:rPr>
        <w:t xml:space="preserve">about </w:t>
      </w:r>
      <w:r w:rsidRPr="008B66DC">
        <w:rPr>
          <w:rFonts w:ascii="Times New Roman" w:hAnsi="Times New Roman" w:cs="Times New Roman"/>
        </w:rPr>
        <w:t>how professional class associations (CCPS-</w:t>
      </w:r>
      <w:proofErr w:type="spellStart"/>
      <w:r w:rsidRPr="008B66DC">
        <w:rPr>
          <w:rFonts w:ascii="Times New Roman" w:hAnsi="Times New Roman" w:cs="Times New Roman"/>
        </w:rPr>
        <w:t>AIChE</w:t>
      </w:r>
      <w:proofErr w:type="spellEnd"/>
      <w:r w:rsidRPr="008B66DC">
        <w:rPr>
          <w:rFonts w:ascii="Times New Roman" w:hAnsi="Times New Roman" w:cs="Times New Roman"/>
        </w:rPr>
        <w:t xml:space="preserve"> and ABRISCO) and </w:t>
      </w:r>
      <w:r w:rsidR="009C20BC" w:rsidRPr="008B66DC">
        <w:rPr>
          <w:rFonts w:ascii="Times New Roman" w:hAnsi="Times New Roman" w:cs="Times New Roman"/>
        </w:rPr>
        <w:t xml:space="preserve">how </w:t>
      </w:r>
      <w:r w:rsidRPr="008B66DC">
        <w:rPr>
          <w:rFonts w:ascii="Times New Roman" w:hAnsi="Times New Roman" w:cs="Times New Roman"/>
        </w:rPr>
        <w:t xml:space="preserve">the chemical and O&amp;G industries (ABIQUIM and IBP) approach the theme, </w:t>
      </w:r>
      <w:r w:rsidR="0097592B" w:rsidRPr="008B66DC">
        <w:rPr>
          <w:rFonts w:ascii="Times New Roman" w:hAnsi="Times New Roman" w:cs="Times New Roman"/>
        </w:rPr>
        <w:t xml:space="preserve">in order to </w:t>
      </w:r>
      <w:r w:rsidRPr="008B66DC">
        <w:rPr>
          <w:rFonts w:ascii="Times New Roman" w:hAnsi="Times New Roman" w:cs="Times New Roman"/>
        </w:rPr>
        <w:t xml:space="preserve">support the industries. </w:t>
      </w:r>
      <w:r w:rsidR="003E7BC0" w:rsidRPr="008B66DC">
        <w:rPr>
          <w:rFonts w:ascii="Times New Roman" w:hAnsi="Times New Roman" w:cs="Times New Roman"/>
        </w:rPr>
        <w:t xml:space="preserve">The intention is to </w:t>
      </w:r>
      <w:r w:rsidR="0097592B" w:rsidRPr="008B66DC">
        <w:rPr>
          <w:rFonts w:ascii="Times New Roman" w:hAnsi="Times New Roman" w:cs="Times New Roman"/>
        </w:rPr>
        <w:t>p</w:t>
      </w:r>
      <w:r w:rsidRPr="008B66DC">
        <w:rPr>
          <w:rFonts w:ascii="Times New Roman" w:hAnsi="Times New Roman" w:cs="Times New Roman"/>
        </w:rPr>
        <w:t xml:space="preserve">rovide insight </w:t>
      </w:r>
      <w:r w:rsidR="003E7BC0" w:rsidRPr="008B66DC">
        <w:rPr>
          <w:rFonts w:ascii="Times New Roman" w:hAnsi="Times New Roman" w:cs="Times New Roman"/>
        </w:rPr>
        <w:t xml:space="preserve">about </w:t>
      </w:r>
      <w:r w:rsidRPr="008B66DC">
        <w:rPr>
          <w:rFonts w:ascii="Times New Roman" w:hAnsi="Times New Roman" w:cs="Times New Roman"/>
        </w:rPr>
        <w:t xml:space="preserve"> how universities in the US, Europe, and Brazil today collaborate to build </w:t>
      </w:r>
      <w:r w:rsidR="009C20BC" w:rsidRPr="008B66DC">
        <w:rPr>
          <w:rFonts w:ascii="Times New Roman" w:hAnsi="Times New Roman" w:cs="Times New Roman"/>
        </w:rPr>
        <w:t>PPS</w:t>
      </w:r>
      <w:r w:rsidRPr="008B66DC">
        <w:rPr>
          <w:rFonts w:ascii="Times New Roman" w:hAnsi="Times New Roman" w:cs="Times New Roman"/>
        </w:rPr>
        <w:t xml:space="preserve"> competencies in engineering undergraduate and graduate programs.</w:t>
      </w:r>
    </w:p>
    <w:p w:rsidR="00625CDA" w:rsidRPr="008B66DC" w:rsidRDefault="00625CDA" w:rsidP="00155C96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</w:rPr>
      </w:pPr>
      <w:r w:rsidRPr="008B66DC">
        <w:rPr>
          <w:rFonts w:ascii="Times New Roman" w:hAnsi="Times New Roman" w:cs="Times New Roman"/>
        </w:rPr>
        <w:t xml:space="preserve">This paper presents the current challenge of the education network to train </w:t>
      </w:r>
      <w:r w:rsidR="009C20BC" w:rsidRPr="008B66DC">
        <w:rPr>
          <w:rFonts w:ascii="Times New Roman" w:hAnsi="Times New Roman" w:cs="Times New Roman"/>
        </w:rPr>
        <w:t xml:space="preserve">PPS </w:t>
      </w:r>
      <w:r w:rsidRPr="008B66DC">
        <w:rPr>
          <w:rFonts w:ascii="Times New Roman" w:hAnsi="Times New Roman" w:cs="Times New Roman"/>
        </w:rPr>
        <w:t xml:space="preserve">skills in the short and medium term to meet the </w:t>
      </w:r>
      <w:r w:rsidR="009C20BC" w:rsidRPr="008B66DC">
        <w:rPr>
          <w:rFonts w:ascii="Times New Roman" w:hAnsi="Times New Roman" w:cs="Times New Roman"/>
        </w:rPr>
        <w:t xml:space="preserve">PPS </w:t>
      </w:r>
      <w:r w:rsidRPr="008B66DC">
        <w:rPr>
          <w:rFonts w:ascii="Times New Roman" w:hAnsi="Times New Roman" w:cs="Times New Roman"/>
        </w:rPr>
        <w:t xml:space="preserve">demands </w:t>
      </w:r>
      <w:r w:rsidR="009C20BC" w:rsidRPr="008B66DC">
        <w:rPr>
          <w:rFonts w:ascii="Times New Roman" w:hAnsi="Times New Roman" w:cs="Times New Roman"/>
        </w:rPr>
        <w:t>in Bra</w:t>
      </w:r>
      <w:r w:rsidR="003E7BC0" w:rsidRPr="008B66DC">
        <w:rPr>
          <w:rFonts w:ascii="Times New Roman" w:hAnsi="Times New Roman" w:cs="Times New Roman"/>
        </w:rPr>
        <w:t>z</w:t>
      </w:r>
      <w:r w:rsidR="009C20BC" w:rsidRPr="008B66DC">
        <w:rPr>
          <w:rFonts w:ascii="Times New Roman" w:hAnsi="Times New Roman" w:cs="Times New Roman"/>
        </w:rPr>
        <w:t xml:space="preserve">ilians </w:t>
      </w:r>
      <w:r w:rsidRPr="008B66DC">
        <w:rPr>
          <w:rFonts w:ascii="Times New Roman" w:hAnsi="Times New Roman" w:cs="Times New Roman"/>
        </w:rPr>
        <w:t xml:space="preserve">industries, with effective adherence to the Operational Safety rules, guided by </w:t>
      </w:r>
      <w:r w:rsidR="009C20BC" w:rsidRPr="008B66DC">
        <w:rPr>
          <w:rFonts w:ascii="Times New Roman" w:hAnsi="Times New Roman" w:cs="Times New Roman"/>
        </w:rPr>
        <w:t>their business sustainability in a short</w:t>
      </w:r>
      <w:r w:rsidR="003E7BC0" w:rsidRPr="008B66DC">
        <w:rPr>
          <w:rFonts w:ascii="Times New Roman" w:hAnsi="Times New Roman" w:cs="Times New Roman"/>
        </w:rPr>
        <w:t>, medium and long</w:t>
      </w:r>
      <w:r w:rsidR="00316C9B" w:rsidRPr="008B66DC">
        <w:rPr>
          <w:rFonts w:ascii="Times New Roman" w:hAnsi="Times New Roman" w:cs="Times New Roman"/>
        </w:rPr>
        <w:t xml:space="preserve"> term demand.</w:t>
      </w:r>
    </w:p>
    <w:p w:rsidR="00D162E0" w:rsidRPr="008B66DC" w:rsidRDefault="00AD59DB" w:rsidP="003D38A7">
      <w:pPr>
        <w:pStyle w:val="PargrafodaLista"/>
        <w:numPr>
          <w:ilvl w:val="0"/>
          <w:numId w:val="14"/>
        </w:numPr>
        <w:autoSpaceDE w:val="0"/>
        <w:autoSpaceDN w:val="0"/>
        <w:adjustRightInd w:val="0"/>
        <w:spacing w:before="240"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8B66DC">
        <w:rPr>
          <w:rFonts w:ascii="Times New Roman" w:hAnsi="Times New Roman" w:cs="Times New Roman"/>
          <w:b/>
          <w:sz w:val="24"/>
          <w:szCs w:val="24"/>
          <w:lang w:val="pt-BR"/>
        </w:rPr>
        <w:t>INTRODUÇÃO</w:t>
      </w:r>
    </w:p>
    <w:p w:rsidR="00BA1837" w:rsidRPr="008B66DC" w:rsidRDefault="00BA1837" w:rsidP="00236340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 xml:space="preserve">Os processos físicos e químicos de transformação e separação presentes na indústria ocorrem, em muitos casos, a elevadas pressões e temperaturas, ou utilizam solventes inflamáveis. Isto os torna um risco aos trabalhadores, ao meio ambiente e ao próprio patrimônio da indústria, levando a necessidade de se prevenir possíveis acidentes decorrentes destes perigos. </w:t>
      </w:r>
    </w:p>
    <w:p w:rsidR="00BA1837" w:rsidRPr="008B66DC" w:rsidRDefault="00BA1837" w:rsidP="00236340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 xml:space="preserve">A segurança de Processos é uma área da engenharia em constante crescimento. Um dos órgãos internacionais que mais promove a discussão sobre segurança de processo é o </w:t>
      </w:r>
      <w:proofErr w:type="spellStart"/>
      <w:r w:rsidR="003E7BC0" w:rsidRPr="008B66DC">
        <w:rPr>
          <w:rFonts w:ascii="Times New Roman" w:hAnsi="Times New Roman" w:cs="Times New Roman"/>
          <w:i/>
          <w:lang w:val="pt-BR"/>
        </w:rPr>
        <w:t>Chemical</w:t>
      </w:r>
      <w:proofErr w:type="spellEnd"/>
      <w:r w:rsidR="003E7BC0" w:rsidRPr="008B66DC">
        <w:rPr>
          <w:rFonts w:ascii="Times New Roman" w:hAnsi="Times New Roman" w:cs="Times New Roman"/>
          <w:i/>
          <w:lang w:val="pt-BR"/>
        </w:rPr>
        <w:t xml:space="preserve"> Center for </w:t>
      </w:r>
      <w:proofErr w:type="spellStart"/>
      <w:r w:rsidR="003E7BC0" w:rsidRPr="008B66DC">
        <w:rPr>
          <w:rFonts w:ascii="Times New Roman" w:hAnsi="Times New Roman" w:cs="Times New Roman"/>
          <w:i/>
          <w:lang w:val="pt-BR"/>
        </w:rPr>
        <w:t>ProcessSafety</w:t>
      </w:r>
      <w:proofErr w:type="spellEnd"/>
      <w:r w:rsidR="003E7BC0" w:rsidRPr="008B66DC">
        <w:rPr>
          <w:rFonts w:ascii="Times New Roman" w:hAnsi="Times New Roman" w:cs="Times New Roman"/>
          <w:lang w:val="pt-BR"/>
        </w:rPr>
        <w:t xml:space="preserve"> (</w:t>
      </w:r>
      <w:r w:rsidRPr="008B66DC">
        <w:rPr>
          <w:rFonts w:ascii="Times New Roman" w:hAnsi="Times New Roman" w:cs="Times New Roman"/>
          <w:lang w:val="pt-BR"/>
        </w:rPr>
        <w:t>CCPS</w:t>
      </w:r>
      <w:r w:rsidR="003E7BC0" w:rsidRPr="008B66DC">
        <w:rPr>
          <w:rFonts w:ascii="Times New Roman" w:hAnsi="Times New Roman" w:cs="Times New Roman"/>
          <w:lang w:val="pt-BR"/>
        </w:rPr>
        <w:t>)</w:t>
      </w:r>
      <w:r w:rsidRPr="008B66DC">
        <w:rPr>
          <w:rFonts w:ascii="Times New Roman" w:hAnsi="Times New Roman" w:cs="Times New Roman"/>
          <w:lang w:val="pt-BR"/>
        </w:rPr>
        <w:t xml:space="preserve">, criado em 1985, logo após o acidente de </w:t>
      </w:r>
      <w:proofErr w:type="spellStart"/>
      <w:r w:rsidRPr="008B66DC">
        <w:rPr>
          <w:rFonts w:ascii="Times New Roman" w:hAnsi="Times New Roman" w:cs="Times New Roman"/>
          <w:lang w:val="pt-BR"/>
        </w:rPr>
        <w:t>Bhopal</w:t>
      </w:r>
      <w:proofErr w:type="spellEnd"/>
      <w:r w:rsidRPr="008B66DC">
        <w:rPr>
          <w:rFonts w:ascii="Times New Roman" w:hAnsi="Times New Roman" w:cs="Times New Roman"/>
          <w:lang w:val="pt-BR"/>
        </w:rPr>
        <w:t xml:space="preserve">, onde uma liberação tóxica causou a morte de mais de 3000 indivíduos somando trabalhadores e comunidade do entorno. Embora as indústrias, ainda no século XIX, já empregassem a função do inspetor de segurança, não havia legislações ou normas específicas como encontramos atualmente, tratando desde o gerenciamento dos riscos, as ferramentas </w:t>
      </w:r>
      <w:r w:rsidR="0058110A" w:rsidRPr="008B66DC">
        <w:rPr>
          <w:rFonts w:ascii="Times New Roman" w:hAnsi="Times New Roman" w:cs="Times New Roman"/>
          <w:lang w:val="pt-BR"/>
        </w:rPr>
        <w:t>qualitativas</w:t>
      </w:r>
      <w:r w:rsidRPr="008B66DC">
        <w:rPr>
          <w:rFonts w:ascii="Times New Roman" w:hAnsi="Times New Roman" w:cs="Times New Roman"/>
          <w:lang w:val="pt-BR"/>
        </w:rPr>
        <w:t xml:space="preserve"> e quantitativas de análise, como também a segurança ocupacional</w:t>
      </w:r>
      <w:r w:rsidR="00316C9B" w:rsidRPr="008B66DC">
        <w:rPr>
          <w:rFonts w:ascii="Times New Roman" w:hAnsi="Times New Roman" w:cs="Times New Roman"/>
          <w:lang w:val="pt-BR"/>
        </w:rPr>
        <w:t>[1]</w:t>
      </w:r>
      <w:r w:rsidRPr="008B66DC">
        <w:rPr>
          <w:rFonts w:ascii="Times New Roman" w:hAnsi="Times New Roman" w:cs="Times New Roman"/>
          <w:lang w:val="pt-BR"/>
        </w:rPr>
        <w:t>.</w:t>
      </w:r>
    </w:p>
    <w:p w:rsidR="00BA1837" w:rsidRPr="008B66DC" w:rsidRDefault="00BA1837" w:rsidP="00236340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>No ambiente fabril e associações de classes profissionais da indústria química há uma preocupação crescente com a cultura de segurança, devido a diversos acidentes ocorridos na indústria química</w:t>
      </w:r>
      <w:r w:rsidR="0075224A" w:rsidRPr="008B66DC">
        <w:rPr>
          <w:rFonts w:ascii="Times New Roman" w:hAnsi="Times New Roman" w:cs="Times New Roman"/>
          <w:lang w:val="pt-BR"/>
        </w:rPr>
        <w:t xml:space="preserve"> [2]</w:t>
      </w:r>
      <w:r w:rsidR="00A728DF" w:rsidRPr="008B66DC">
        <w:rPr>
          <w:rFonts w:ascii="Times New Roman" w:hAnsi="Times New Roman" w:cs="Times New Roman"/>
          <w:lang w:val="pt-BR"/>
        </w:rPr>
        <w:t xml:space="preserve">. </w:t>
      </w:r>
      <w:r w:rsidRPr="008B66DC">
        <w:rPr>
          <w:rFonts w:ascii="Times New Roman" w:hAnsi="Times New Roman" w:cs="Times New Roman"/>
          <w:lang w:val="pt-BR"/>
        </w:rPr>
        <w:t xml:space="preserve">Comitês e gerênciastem sido </w:t>
      </w:r>
      <w:r w:rsidR="00EE5C38" w:rsidRPr="008B66DC">
        <w:rPr>
          <w:rFonts w:ascii="Times New Roman" w:hAnsi="Times New Roman" w:cs="Times New Roman"/>
          <w:lang w:val="pt-BR"/>
        </w:rPr>
        <w:t>nomeadas</w:t>
      </w:r>
      <w:r w:rsidRPr="008B66DC">
        <w:rPr>
          <w:rFonts w:ascii="Times New Roman" w:hAnsi="Times New Roman" w:cs="Times New Roman"/>
          <w:lang w:val="pt-BR"/>
        </w:rPr>
        <w:t xml:space="preserve"> para tratar especificamente da segurança de processos. Diante deste cenário, verificou-se a necessidade de qualificar mão de obra, formando profissionais na área de segurança </w:t>
      </w:r>
      <w:r w:rsidRPr="008B66DC">
        <w:rPr>
          <w:rFonts w:ascii="Times New Roman" w:hAnsi="Times New Roman" w:cs="Times New Roman"/>
          <w:lang w:val="pt-BR"/>
        </w:rPr>
        <w:lastRenderedPageBreak/>
        <w:t xml:space="preserve">de processos industriais. Os esforços </w:t>
      </w:r>
      <w:r w:rsidR="0058110A" w:rsidRPr="008B66DC">
        <w:rPr>
          <w:rFonts w:ascii="Times New Roman" w:hAnsi="Times New Roman" w:cs="Times New Roman"/>
          <w:lang w:val="pt-BR"/>
        </w:rPr>
        <w:t>inicias</w:t>
      </w:r>
      <w:r w:rsidRPr="008B66DC">
        <w:rPr>
          <w:rFonts w:ascii="Times New Roman" w:hAnsi="Times New Roman" w:cs="Times New Roman"/>
          <w:lang w:val="pt-BR"/>
        </w:rPr>
        <w:t xml:space="preserve"> concentraram-se em cursos de extensão e pós-graduação, para que engenheiros e técnicos adquirissem competências relacionadas à segurança de processos</w:t>
      </w:r>
      <w:r w:rsidR="0075224A" w:rsidRPr="008B66DC">
        <w:rPr>
          <w:rFonts w:ascii="Times New Roman" w:hAnsi="Times New Roman" w:cs="Times New Roman"/>
          <w:lang w:val="pt-BR"/>
        </w:rPr>
        <w:t>[3</w:t>
      </w:r>
      <w:r w:rsidR="006415E9" w:rsidRPr="008B66DC">
        <w:rPr>
          <w:rFonts w:ascii="Times New Roman" w:hAnsi="Times New Roman" w:cs="Times New Roman"/>
          <w:lang w:val="pt-BR"/>
        </w:rPr>
        <w:t>]</w:t>
      </w:r>
      <w:r w:rsidRPr="008B66DC">
        <w:rPr>
          <w:rFonts w:ascii="Times New Roman" w:hAnsi="Times New Roman" w:cs="Times New Roman"/>
          <w:lang w:val="pt-BR"/>
        </w:rPr>
        <w:t>.</w:t>
      </w:r>
    </w:p>
    <w:p w:rsidR="00BA1837" w:rsidRPr="008B66DC" w:rsidRDefault="00BA1837" w:rsidP="00236340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 xml:space="preserve">Atualmente, existem </w:t>
      </w:r>
      <w:r w:rsidR="0058110A" w:rsidRPr="008B66DC">
        <w:rPr>
          <w:rFonts w:ascii="Times New Roman" w:hAnsi="Times New Roman" w:cs="Times New Roman"/>
          <w:lang w:val="pt-BR"/>
        </w:rPr>
        <w:t>algumas</w:t>
      </w:r>
      <w:r w:rsidRPr="008B66DC">
        <w:rPr>
          <w:rFonts w:ascii="Times New Roman" w:hAnsi="Times New Roman" w:cs="Times New Roman"/>
          <w:lang w:val="pt-BR"/>
        </w:rPr>
        <w:t xml:space="preserve"> pós-graduações no Brasil sobre segurança de processos industriais. Todavia, a inserção de conteúdos de seg</w:t>
      </w:r>
      <w:bookmarkStart w:id="0" w:name="_GoBack"/>
      <w:bookmarkEnd w:id="0"/>
      <w:r w:rsidRPr="008B66DC">
        <w:rPr>
          <w:rFonts w:ascii="Times New Roman" w:hAnsi="Times New Roman" w:cs="Times New Roman"/>
          <w:lang w:val="pt-BR"/>
        </w:rPr>
        <w:t>urança de processos nos currículos das graduações tem aumentado gradativamente, em resposta a uma demanda da indústria. A portaria do INEP Nº 492 de 6 de junho de 2017, que trata dos conteúdos que deverão ser avaliados no ENADE</w:t>
      </w:r>
      <w:r w:rsidR="0075224A" w:rsidRPr="008B66DC">
        <w:rPr>
          <w:rFonts w:ascii="Times New Roman" w:hAnsi="Times New Roman" w:cs="Times New Roman"/>
          <w:lang w:val="pt-BR"/>
        </w:rPr>
        <w:t xml:space="preserve"> [4</w:t>
      </w:r>
      <w:r w:rsidR="002F2773" w:rsidRPr="008B66DC">
        <w:rPr>
          <w:rFonts w:ascii="Times New Roman" w:hAnsi="Times New Roman" w:cs="Times New Roman"/>
          <w:lang w:val="pt-BR"/>
        </w:rPr>
        <w:t>]</w:t>
      </w:r>
      <w:r w:rsidRPr="008B66DC">
        <w:rPr>
          <w:rFonts w:ascii="Times New Roman" w:hAnsi="Times New Roman" w:cs="Times New Roman"/>
          <w:lang w:val="pt-BR"/>
        </w:rPr>
        <w:t xml:space="preserve"> (Exame Nacional de Desempenho dos Estudantes) para o curso de engenharia química, tem a análise, síntese, projeto e segurança de processos como um dos tópicos. </w:t>
      </w:r>
    </w:p>
    <w:p w:rsidR="0097527D" w:rsidRPr="008B66DC" w:rsidRDefault="00BA1837" w:rsidP="00236340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>Entretanto, competências</w:t>
      </w:r>
      <w:r w:rsidR="00367C20" w:rsidRPr="008B66DC">
        <w:rPr>
          <w:rFonts w:ascii="Times New Roman" w:hAnsi="Times New Roman" w:cs="Times New Roman"/>
          <w:lang w:val="pt-BR"/>
        </w:rPr>
        <w:t xml:space="preserve"> para </w:t>
      </w:r>
      <w:r w:rsidRPr="008B66DC">
        <w:rPr>
          <w:rFonts w:ascii="Times New Roman" w:hAnsi="Times New Roman" w:cs="Times New Roman"/>
          <w:lang w:val="pt-BR"/>
        </w:rPr>
        <w:t>selecionar métodos de inspeção e manutenção de equipamentos e realizar análises de vulnerabilidade, são trabalhadas na graduação nos níveis de conhecimento e compreensão</w:t>
      </w:r>
      <w:r w:rsidR="00ED40C8" w:rsidRPr="008B66DC">
        <w:rPr>
          <w:rFonts w:ascii="Times New Roman" w:hAnsi="Times New Roman" w:cs="Times New Roman"/>
          <w:lang w:val="pt-BR"/>
        </w:rPr>
        <w:t xml:space="preserve">, permitindo que o aluno seja capaz de </w:t>
      </w:r>
      <w:r w:rsidR="00344EC5" w:rsidRPr="008B66DC">
        <w:rPr>
          <w:rFonts w:ascii="Times New Roman" w:hAnsi="Times New Roman" w:cs="Times New Roman"/>
          <w:lang w:val="pt-BR"/>
        </w:rPr>
        <w:t>identificar perigos e aplicar conceitos de segurança de processo.N</w:t>
      </w:r>
      <w:r w:rsidRPr="008B66DC">
        <w:rPr>
          <w:rFonts w:ascii="Times New Roman" w:hAnsi="Times New Roman" w:cs="Times New Roman"/>
          <w:lang w:val="pt-BR"/>
        </w:rPr>
        <w:t>a pós-graduação podem ser trabalhad</w:t>
      </w:r>
      <w:r w:rsidR="00344EC5" w:rsidRPr="008B66DC">
        <w:rPr>
          <w:rFonts w:ascii="Times New Roman" w:hAnsi="Times New Roman" w:cs="Times New Roman"/>
          <w:lang w:val="pt-BR"/>
        </w:rPr>
        <w:t>o</w:t>
      </w:r>
      <w:r w:rsidRPr="008B66DC">
        <w:rPr>
          <w:rFonts w:ascii="Times New Roman" w:hAnsi="Times New Roman" w:cs="Times New Roman"/>
          <w:lang w:val="pt-BR"/>
        </w:rPr>
        <w:t>s os níveis de avaliação e análise</w:t>
      </w:r>
      <w:r w:rsidR="00344EC5" w:rsidRPr="008B66DC">
        <w:rPr>
          <w:rFonts w:ascii="Times New Roman" w:hAnsi="Times New Roman" w:cs="Times New Roman"/>
          <w:lang w:val="pt-BR"/>
        </w:rPr>
        <w:t>, capacitando o profissional a utilizar metodologias específicas para avaliar e quantificar os perigos</w:t>
      </w:r>
      <w:r w:rsidR="007E7932" w:rsidRPr="008B66DC">
        <w:rPr>
          <w:rFonts w:ascii="Times New Roman" w:hAnsi="Times New Roman" w:cs="Times New Roman"/>
          <w:lang w:val="pt-BR"/>
        </w:rPr>
        <w:t>.</w:t>
      </w:r>
    </w:p>
    <w:p w:rsidR="0097527D" w:rsidRPr="008B66DC" w:rsidRDefault="00BA1837" w:rsidP="00236340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 xml:space="preserve">Assim, o presente trabalho tem por objetivo mostrar como estas competências são formadas internamente nas indústrias químicas, </w:t>
      </w:r>
      <w:r w:rsidR="00367C20" w:rsidRPr="008B66DC">
        <w:rPr>
          <w:rFonts w:ascii="Times New Roman" w:hAnsi="Times New Roman" w:cs="Times New Roman"/>
          <w:lang w:val="pt-BR"/>
        </w:rPr>
        <w:t>assim como</w:t>
      </w:r>
      <w:r w:rsidRPr="008B66DC">
        <w:rPr>
          <w:rFonts w:ascii="Times New Roman" w:hAnsi="Times New Roman" w:cs="Times New Roman"/>
          <w:lang w:val="pt-BR"/>
        </w:rPr>
        <w:t xml:space="preserve"> nas instituições de ensino superior</w:t>
      </w:r>
      <w:r w:rsidR="0097527D" w:rsidRPr="008B66DC">
        <w:rPr>
          <w:rFonts w:ascii="Times New Roman" w:hAnsi="Times New Roman" w:cs="Times New Roman"/>
          <w:lang w:val="pt-BR"/>
        </w:rPr>
        <w:t xml:space="preserve"> (através dos cursos de graduação e pós-graduação)</w:t>
      </w:r>
      <w:r w:rsidRPr="008B66DC">
        <w:rPr>
          <w:rFonts w:ascii="Times New Roman" w:hAnsi="Times New Roman" w:cs="Times New Roman"/>
          <w:lang w:val="pt-BR"/>
        </w:rPr>
        <w:t>, para atender à crescente demanda de profissionais qualificados em segurança de processos industriais</w:t>
      </w:r>
      <w:r w:rsidR="0097527D" w:rsidRPr="008B66DC">
        <w:rPr>
          <w:rFonts w:ascii="Times New Roman" w:hAnsi="Times New Roman" w:cs="Times New Roman"/>
          <w:lang w:val="pt-BR"/>
        </w:rPr>
        <w:t xml:space="preserve"> nos EUA, na Europa e no Brasil</w:t>
      </w:r>
      <w:r w:rsidRPr="008B66DC">
        <w:rPr>
          <w:rFonts w:ascii="Times New Roman" w:hAnsi="Times New Roman" w:cs="Times New Roman"/>
          <w:lang w:val="pt-BR"/>
        </w:rPr>
        <w:t>.</w:t>
      </w:r>
    </w:p>
    <w:p w:rsidR="00B84304" w:rsidRDefault="0097527D" w:rsidP="00236340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>Apresenta-se ainda exemplos de como as associações de classe de profissionais (</w:t>
      </w:r>
      <w:proofErr w:type="spellStart"/>
      <w:r w:rsidRPr="008B66DC">
        <w:rPr>
          <w:rFonts w:ascii="Times New Roman" w:hAnsi="Times New Roman" w:cs="Times New Roman"/>
          <w:lang w:val="pt-BR"/>
        </w:rPr>
        <w:t>CCPS-AIChE</w:t>
      </w:r>
      <w:proofErr w:type="spellEnd"/>
      <w:r w:rsidRPr="008B66DC">
        <w:rPr>
          <w:rFonts w:ascii="Times New Roman" w:hAnsi="Times New Roman" w:cs="Times New Roman"/>
          <w:lang w:val="pt-BR"/>
        </w:rPr>
        <w:t xml:space="preserve">) e das </w:t>
      </w:r>
      <w:proofErr w:type="gramStart"/>
      <w:r w:rsidRPr="008B66DC">
        <w:rPr>
          <w:rFonts w:ascii="Times New Roman" w:hAnsi="Times New Roman" w:cs="Times New Roman"/>
          <w:lang w:val="pt-BR"/>
        </w:rPr>
        <w:t>industrias</w:t>
      </w:r>
      <w:proofErr w:type="gramEnd"/>
      <w:r w:rsidRPr="008B66DC">
        <w:rPr>
          <w:rFonts w:ascii="Times New Roman" w:hAnsi="Times New Roman" w:cs="Times New Roman"/>
          <w:lang w:val="pt-BR"/>
        </w:rPr>
        <w:t xml:space="preserve"> (ABIQUIM e IBP) abordam o tema fora das industrias e p</w:t>
      </w:r>
      <w:r w:rsidR="003E7BC0" w:rsidRPr="008B66DC">
        <w:rPr>
          <w:rFonts w:ascii="Times New Roman" w:hAnsi="Times New Roman" w:cs="Times New Roman"/>
          <w:lang w:val="pt-BR"/>
        </w:rPr>
        <w:t xml:space="preserve">ropostas para a formação de competência em </w:t>
      </w:r>
      <w:r w:rsidR="00E3765A" w:rsidRPr="008B66DC">
        <w:rPr>
          <w:rFonts w:ascii="Times New Roman" w:hAnsi="Times New Roman" w:cs="Times New Roman"/>
          <w:lang w:val="pt-BR"/>
        </w:rPr>
        <w:t>Segurança de Processo (SEPRO)</w:t>
      </w:r>
      <w:r w:rsidR="003E7BC0" w:rsidRPr="008B66DC">
        <w:rPr>
          <w:rFonts w:ascii="Times New Roman" w:hAnsi="Times New Roman" w:cs="Times New Roman"/>
          <w:lang w:val="pt-BR"/>
        </w:rPr>
        <w:t xml:space="preserve"> de modo mais uniforme possível atendendo as necessidades do meio industrial brasileiro </w:t>
      </w:r>
      <w:r w:rsidR="00367C20" w:rsidRPr="008B66DC">
        <w:rPr>
          <w:rFonts w:ascii="Times New Roman" w:hAnsi="Times New Roman" w:cs="Times New Roman"/>
          <w:lang w:val="pt-BR"/>
        </w:rPr>
        <w:t xml:space="preserve">seguindo </w:t>
      </w:r>
      <w:r w:rsidR="003E7BC0" w:rsidRPr="008B66DC">
        <w:rPr>
          <w:rFonts w:ascii="Times New Roman" w:hAnsi="Times New Roman" w:cs="Times New Roman"/>
          <w:lang w:val="pt-BR"/>
        </w:rPr>
        <w:t>modelos internacionais</w:t>
      </w:r>
      <w:r w:rsidR="008C1749" w:rsidRPr="008B66DC">
        <w:rPr>
          <w:rFonts w:ascii="Times New Roman" w:hAnsi="Times New Roman" w:cs="Times New Roman"/>
          <w:lang w:val="pt-BR"/>
        </w:rPr>
        <w:t xml:space="preserve"> já madurosem andamento. </w:t>
      </w:r>
    </w:p>
    <w:p w:rsidR="006A10C6" w:rsidRPr="008B66DC" w:rsidRDefault="006A10C6" w:rsidP="00236340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 xml:space="preserve">Esse esforço para formação de competência em segurança de processos das indústrias e das suas associações de classe precisa ser internalizado nas instituições de ensino superior. Mais do que treinamento é necessário se estabelecer a educação em segurança de processos. </w:t>
      </w:r>
      <w:r w:rsidR="00C90A26">
        <w:rPr>
          <w:rFonts w:ascii="Times New Roman" w:hAnsi="Times New Roman" w:cs="Times New Roman"/>
          <w:lang w:val="pt-BR"/>
        </w:rPr>
        <w:t>Apresenta-se neste artigo as dificuldades para isso.</w:t>
      </w:r>
    </w:p>
    <w:p w:rsidR="00367C20" w:rsidRPr="008B66DC" w:rsidRDefault="00B84304" w:rsidP="00236340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 xml:space="preserve">Os resultados </w:t>
      </w:r>
      <w:r w:rsidR="0097527D" w:rsidRPr="008B66DC">
        <w:rPr>
          <w:rFonts w:ascii="Times New Roman" w:hAnsi="Times New Roman" w:cs="Times New Roman"/>
          <w:lang w:val="pt-BR"/>
        </w:rPr>
        <w:t xml:space="preserve">aqui descritos, </w:t>
      </w:r>
      <w:r w:rsidRPr="008B66DC">
        <w:rPr>
          <w:rFonts w:ascii="Times New Roman" w:hAnsi="Times New Roman" w:cs="Times New Roman"/>
          <w:lang w:val="pt-BR"/>
        </w:rPr>
        <w:t xml:space="preserve">foram obtidos </w:t>
      </w:r>
      <w:r w:rsidR="0097527D" w:rsidRPr="008B66DC">
        <w:rPr>
          <w:rFonts w:ascii="Times New Roman" w:hAnsi="Times New Roman" w:cs="Times New Roman"/>
          <w:lang w:val="pt-BR"/>
        </w:rPr>
        <w:t xml:space="preserve">a </w:t>
      </w:r>
      <w:r w:rsidRPr="008B66DC">
        <w:rPr>
          <w:rFonts w:ascii="Times New Roman" w:hAnsi="Times New Roman" w:cs="Times New Roman"/>
          <w:lang w:val="pt-BR"/>
        </w:rPr>
        <w:t>partir de outras publicações e artigos desde 2010 até o presente</w:t>
      </w:r>
      <w:r w:rsidR="0089376B" w:rsidRPr="008B66DC">
        <w:rPr>
          <w:rFonts w:ascii="Times New Roman" w:hAnsi="Times New Roman" w:cs="Times New Roman"/>
          <w:lang w:val="pt-BR"/>
        </w:rPr>
        <w:t xml:space="preserve">, referenciados ao final deste artigo. </w:t>
      </w:r>
      <w:r w:rsidR="0097527D" w:rsidRPr="008B66DC">
        <w:rPr>
          <w:rFonts w:ascii="Times New Roman" w:hAnsi="Times New Roman" w:cs="Times New Roman"/>
          <w:lang w:val="pt-BR"/>
        </w:rPr>
        <w:t xml:space="preserve">Esses </w:t>
      </w:r>
      <w:r w:rsidR="0089376B" w:rsidRPr="008B66DC">
        <w:rPr>
          <w:rFonts w:ascii="Times New Roman" w:hAnsi="Times New Roman" w:cs="Times New Roman"/>
          <w:lang w:val="pt-BR"/>
        </w:rPr>
        <w:t xml:space="preserve">resultados </w:t>
      </w:r>
      <w:r w:rsidRPr="008B66DC">
        <w:rPr>
          <w:rFonts w:ascii="Times New Roman" w:hAnsi="Times New Roman" w:cs="Times New Roman"/>
          <w:lang w:val="pt-BR"/>
        </w:rPr>
        <w:t xml:space="preserve">apontam </w:t>
      </w:r>
      <w:r w:rsidR="0097527D" w:rsidRPr="008B66DC">
        <w:rPr>
          <w:rFonts w:ascii="Times New Roman" w:hAnsi="Times New Roman" w:cs="Times New Roman"/>
          <w:lang w:val="pt-BR"/>
        </w:rPr>
        <w:t xml:space="preserve">as estratégias tomadas para atender ao </w:t>
      </w:r>
      <w:r w:rsidRPr="008B66DC">
        <w:rPr>
          <w:rFonts w:ascii="Times New Roman" w:hAnsi="Times New Roman" w:cs="Times New Roman"/>
          <w:lang w:val="pt-BR"/>
        </w:rPr>
        <w:t>desafio de formar competências</w:t>
      </w:r>
      <w:r w:rsidR="00E3765A" w:rsidRPr="008B66DC">
        <w:rPr>
          <w:rFonts w:ascii="Times New Roman" w:hAnsi="Times New Roman" w:cs="Times New Roman"/>
          <w:lang w:val="pt-BR"/>
        </w:rPr>
        <w:t xml:space="preserve"> em </w:t>
      </w:r>
      <w:r w:rsidRPr="008B66DC">
        <w:rPr>
          <w:rFonts w:ascii="Times New Roman" w:hAnsi="Times New Roman" w:cs="Times New Roman"/>
          <w:lang w:val="pt-BR"/>
        </w:rPr>
        <w:t xml:space="preserve">SEPRO </w:t>
      </w:r>
      <w:r w:rsidR="0097527D" w:rsidRPr="008B66DC">
        <w:rPr>
          <w:rFonts w:ascii="Times New Roman" w:hAnsi="Times New Roman" w:cs="Times New Roman"/>
          <w:lang w:val="pt-BR"/>
        </w:rPr>
        <w:t xml:space="preserve">devido </w:t>
      </w:r>
      <w:proofErr w:type="gramStart"/>
      <w:r w:rsidR="0097527D" w:rsidRPr="008B66DC">
        <w:rPr>
          <w:rFonts w:ascii="Times New Roman" w:hAnsi="Times New Roman" w:cs="Times New Roman"/>
          <w:lang w:val="pt-BR"/>
        </w:rPr>
        <w:t>a</w:t>
      </w:r>
      <w:proofErr w:type="gramEnd"/>
      <w:r w:rsidR="0097527D" w:rsidRPr="008B66DC">
        <w:rPr>
          <w:rFonts w:ascii="Times New Roman" w:hAnsi="Times New Roman" w:cs="Times New Roman"/>
          <w:lang w:val="pt-BR"/>
        </w:rPr>
        <w:t xml:space="preserve"> </w:t>
      </w:r>
      <w:r w:rsidRPr="008B66DC">
        <w:rPr>
          <w:rFonts w:ascii="Times New Roman" w:hAnsi="Times New Roman" w:cs="Times New Roman"/>
          <w:lang w:val="pt-BR"/>
        </w:rPr>
        <w:t xml:space="preserve">demanda </w:t>
      </w:r>
      <w:r w:rsidR="006A10C6">
        <w:rPr>
          <w:rFonts w:ascii="Times New Roman" w:hAnsi="Times New Roman" w:cs="Times New Roman"/>
          <w:lang w:val="pt-BR"/>
        </w:rPr>
        <w:t xml:space="preserve">no Brasil </w:t>
      </w:r>
      <w:r w:rsidRPr="008B66DC">
        <w:rPr>
          <w:rFonts w:ascii="Times New Roman" w:hAnsi="Times New Roman" w:cs="Times New Roman"/>
          <w:lang w:val="pt-BR"/>
        </w:rPr>
        <w:t>das indústrias de produção de Petróleo, Gás e Energia para garantir uma efetiva aderência as regras de Segurança Operacional orientadas pela Agencia Nacional de Petróleo</w:t>
      </w:r>
      <w:r w:rsidR="006A10C6">
        <w:rPr>
          <w:rFonts w:ascii="Times New Roman" w:hAnsi="Times New Roman" w:cs="Times New Roman"/>
          <w:lang w:val="pt-BR"/>
        </w:rPr>
        <w:t xml:space="preserve">, assim como outras áreas industriais de mineração, siderurgia. </w:t>
      </w:r>
    </w:p>
    <w:p w:rsidR="0058110A" w:rsidRPr="008B66DC" w:rsidRDefault="00ED6B38" w:rsidP="00A15440">
      <w:pPr>
        <w:pStyle w:val="PargrafodaLista"/>
        <w:numPr>
          <w:ilvl w:val="0"/>
          <w:numId w:val="14"/>
        </w:numPr>
        <w:autoSpaceDE w:val="0"/>
        <w:autoSpaceDN w:val="0"/>
        <w:adjustRightInd w:val="0"/>
        <w:spacing w:before="240"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8B66DC">
        <w:rPr>
          <w:rFonts w:ascii="Times New Roman" w:hAnsi="Times New Roman" w:cs="Times New Roman"/>
          <w:b/>
          <w:sz w:val="24"/>
          <w:szCs w:val="24"/>
          <w:lang w:val="pt-BR"/>
        </w:rPr>
        <w:t xml:space="preserve">FORMAÇÃO DE COMPETÊNCIAS EM SEGURANÇA DE PROCESSOS E SEGURANÇA OPERACIONAL </w:t>
      </w:r>
      <w:r w:rsidR="0058110A" w:rsidRPr="008B66DC">
        <w:rPr>
          <w:rFonts w:ascii="Times New Roman" w:hAnsi="Times New Roman" w:cs="Times New Roman"/>
          <w:b/>
          <w:sz w:val="24"/>
          <w:szCs w:val="24"/>
          <w:lang w:val="pt-BR"/>
        </w:rPr>
        <w:t>NO EXTERIOR</w:t>
      </w:r>
    </w:p>
    <w:p w:rsidR="0058110A" w:rsidRPr="008B66DC" w:rsidRDefault="002F16C3" w:rsidP="000244FF">
      <w:pPr>
        <w:pStyle w:val="PargrafodaLista"/>
        <w:numPr>
          <w:ilvl w:val="1"/>
          <w:numId w:val="14"/>
        </w:numPr>
        <w:autoSpaceDE w:val="0"/>
        <w:autoSpaceDN w:val="0"/>
        <w:adjustRightInd w:val="0"/>
        <w:spacing w:before="120"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8B66DC">
        <w:rPr>
          <w:rFonts w:ascii="Times New Roman" w:hAnsi="Times New Roman" w:cs="Times New Roman"/>
          <w:b/>
          <w:sz w:val="24"/>
          <w:szCs w:val="24"/>
          <w:lang w:val="pt-BR"/>
        </w:rPr>
        <w:t>Nos cursos de graduação nos Estados Unidos</w:t>
      </w:r>
      <w:r w:rsidR="00367C20" w:rsidRPr="008B66DC">
        <w:rPr>
          <w:rFonts w:ascii="Times New Roman" w:hAnsi="Times New Roman" w:cs="Times New Roman"/>
          <w:b/>
          <w:sz w:val="24"/>
          <w:szCs w:val="24"/>
          <w:lang w:val="pt-BR"/>
        </w:rPr>
        <w:t xml:space="preserve"> da América (EUA)</w:t>
      </w:r>
    </w:p>
    <w:p w:rsidR="0058110A" w:rsidRPr="008B66DC" w:rsidRDefault="0058110A" w:rsidP="00236340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 xml:space="preserve">Os incidentes geralmente resultam em publicidade negativa e um pedido de mudança. </w:t>
      </w:r>
      <w:r w:rsidR="00367C20" w:rsidRPr="008B66DC">
        <w:rPr>
          <w:rFonts w:ascii="Times New Roman" w:hAnsi="Times New Roman" w:cs="Times New Roman"/>
          <w:lang w:val="pt-BR"/>
        </w:rPr>
        <w:t>P</w:t>
      </w:r>
      <w:r w:rsidRPr="008B66DC">
        <w:rPr>
          <w:rFonts w:ascii="Times New Roman" w:hAnsi="Times New Roman" w:cs="Times New Roman"/>
          <w:lang w:val="pt-BR"/>
        </w:rPr>
        <w:t xml:space="preserve">odemos citar aqui o exemplo de uma reação química fora de controle que levou a uma explosão em uma empresa chamada </w:t>
      </w:r>
      <w:r w:rsidRPr="008B66DC">
        <w:rPr>
          <w:rFonts w:ascii="Times New Roman" w:hAnsi="Times New Roman" w:cs="Times New Roman"/>
          <w:i/>
          <w:lang w:val="pt-BR"/>
        </w:rPr>
        <w:t xml:space="preserve">T2 </w:t>
      </w:r>
      <w:proofErr w:type="spellStart"/>
      <w:r w:rsidRPr="008B66DC">
        <w:rPr>
          <w:rFonts w:ascii="Times New Roman" w:hAnsi="Times New Roman" w:cs="Times New Roman"/>
          <w:i/>
          <w:lang w:val="pt-BR"/>
        </w:rPr>
        <w:t>Laboratories</w:t>
      </w:r>
      <w:proofErr w:type="spellEnd"/>
      <w:r w:rsidRPr="008B66DC">
        <w:rPr>
          <w:rFonts w:ascii="Times New Roman" w:hAnsi="Times New Roman" w:cs="Times New Roman"/>
          <w:lang w:val="pt-BR"/>
        </w:rPr>
        <w:t xml:space="preserve"> em </w:t>
      </w:r>
      <w:proofErr w:type="spellStart"/>
      <w:r w:rsidRPr="008B66DC">
        <w:rPr>
          <w:rFonts w:ascii="Times New Roman" w:hAnsi="Times New Roman" w:cs="Times New Roman"/>
          <w:lang w:val="pt-BR"/>
        </w:rPr>
        <w:t>Jacksonville</w:t>
      </w:r>
      <w:proofErr w:type="spellEnd"/>
      <w:r w:rsidRPr="008B66DC">
        <w:rPr>
          <w:rFonts w:ascii="Times New Roman" w:hAnsi="Times New Roman" w:cs="Times New Roman"/>
          <w:lang w:val="pt-BR"/>
        </w:rPr>
        <w:t xml:space="preserve">, FL, em </w:t>
      </w:r>
      <w:r w:rsidR="00A15440" w:rsidRPr="008B66DC">
        <w:rPr>
          <w:rFonts w:ascii="Times New Roman" w:hAnsi="Times New Roman" w:cs="Times New Roman"/>
          <w:lang w:val="pt-BR"/>
        </w:rPr>
        <w:t>d</w:t>
      </w:r>
      <w:r w:rsidRPr="008B66DC">
        <w:rPr>
          <w:rFonts w:ascii="Times New Roman" w:hAnsi="Times New Roman" w:cs="Times New Roman"/>
          <w:lang w:val="pt-BR"/>
        </w:rPr>
        <w:t>ezembro de 2007. A explosão matou quatro pessoas. Outras trinta e duas pessoas ficaram feridas; quatorze necessitaram de tratamento médico em um hospital local.</w:t>
      </w:r>
    </w:p>
    <w:p w:rsidR="0058110A" w:rsidRPr="008B66DC" w:rsidRDefault="0058110A" w:rsidP="00236340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 xml:space="preserve">Nos estados unidos da américa, em resposta a esta ocorrência, o </w:t>
      </w:r>
      <w:r w:rsidR="00E3765A" w:rsidRPr="008B66DC">
        <w:rPr>
          <w:rFonts w:ascii="Times New Roman" w:hAnsi="Times New Roman" w:cs="Times New Roman"/>
          <w:lang w:val="pt-BR"/>
        </w:rPr>
        <w:t>C</w:t>
      </w:r>
      <w:r w:rsidRPr="008B66DC">
        <w:rPr>
          <w:rFonts w:ascii="Times New Roman" w:hAnsi="Times New Roman" w:cs="Times New Roman"/>
          <w:lang w:val="pt-BR"/>
        </w:rPr>
        <w:t xml:space="preserve">onselho de </w:t>
      </w:r>
      <w:r w:rsidR="00E3765A" w:rsidRPr="008B66DC">
        <w:rPr>
          <w:rFonts w:ascii="Times New Roman" w:hAnsi="Times New Roman" w:cs="Times New Roman"/>
          <w:lang w:val="pt-BR"/>
        </w:rPr>
        <w:t>S</w:t>
      </w:r>
      <w:r w:rsidRPr="008B66DC">
        <w:rPr>
          <w:rFonts w:ascii="Times New Roman" w:hAnsi="Times New Roman" w:cs="Times New Roman"/>
          <w:lang w:val="pt-BR"/>
        </w:rPr>
        <w:t xml:space="preserve">egurança de </w:t>
      </w:r>
      <w:r w:rsidR="00E3765A" w:rsidRPr="008B66DC">
        <w:rPr>
          <w:rFonts w:ascii="Times New Roman" w:hAnsi="Times New Roman" w:cs="Times New Roman"/>
          <w:lang w:val="pt-BR"/>
        </w:rPr>
        <w:t>R</w:t>
      </w:r>
      <w:r w:rsidRPr="008B66DC">
        <w:rPr>
          <w:rFonts w:ascii="Times New Roman" w:hAnsi="Times New Roman" w:cs="Times New Roman"/>
          <w:lang w:val="pt-BR"/>
        </w:rPr>
        <w:t xml:space="preserve">iscos </w:t>
      </w:r>
      <w:r w:rsidR="00E3765A" w:rsidRPr="008B66DC">
        <w:rPr>
          <w:rFonts w:ascii="Times New Roman" w:hAnsi="Times New Roman" w:cs="Times New Roman"/>
          <w:lang w:val="pt-BR"/>
        </w:rPr>
        <w:t>Q</w:t>
      </w:r>
      <w:r w:rsidRPr="008B66DC">
        <w:rPr>
          <w:rFonts w:ascii="Times New Roman" w:hAnsi="Times New Roman" w:cs="Times New Roman"/>
          <w:lang w:val="pt-BR"/>
        </w:rPr>
        <w:t>uímicos dos EUA (CSB) pediu melhorias no curriculum da graduação em engenharia química. Especificamente, o CSB recomendou ao Instituto Americano de Engenheiros Químicos (</w:t>
      </w:r>
      <w:proofErr w:type="spellStart"/>
      <w:r w:rsidRPr="008B66DC">
        <w:rPr>
          <w:rFonts w:ascii="Times New Roman" w:hAnsi="Times New Roman" w:cs="Times New Roman"/>
          <w:lang w:val="pt-BR"/>
        </w:rPr>
        <w:t>AIChE</w:t>
      </w:r>
      <w:proofErr w:type="spellEnd"/>
      <w:r w:rsidRPr="008B66DC">
        <w:rPr>
          <w:rFonts w:ascii="Times New Roman" w:hAnsi="Times New Roman" w:cs="Times New Roman"/>
          <w:lang w:val="pt-BR"/>
        </w:rPr>
        <w:t>):</w:t>
      </w:r>
    </w:p>
    <w:p w:rsidR="0058110A" w:rsidRPr="008B66DC" w:rsidRDefault="0058110A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lastRenderedPageBreak/>
        <w:t xml:space="preserve">Trabalhar com o Conselho de Credenciamento de Engenharia e </w:t>
      </w:r>
      <w:r w:rsidR="00A15440" w:rsidRPr="008B66DC">
        <w:rPr>
          <w:rFonts w:ascii="Times New Roman" w:hAnsi="Times New Roman" w:cs="Times New Roman"/>
          <w:szCs w:val="24"/>
          <w:lang w:val="pt-BR"/>
        </w:rPr>
        <w:t>T</w:t>
      </w:r>
      <w:r w:rsidRPr="008B66DC">
        <w:rPr>
          <w:rFonts w:ascii="Times New Roman" w:hAnsi="Times New Roman" w:cs="Times New Roman"/>
          <w:szCs w:val="24"/>
          <w:lang w:val="pt-BR"/>
        </w:rPr>
        <w:t xml:space="preserve">ecnologia </w:t>
      </w:r>
      <w:r w:rsidR="00A15440" w:rsidRPr="008B66DC">
        <w:rPr>
          <w:rFonts w:ascii="Times New Roman" w:hAnsi="Times New Roman" w:cs="Times New Roman"/>
          <w:szCs w:val="24"/>
          <w:lang w:val="pt-BR"/>
        </w:rPr>
        <w:t>(</w:t>
      </w:r>
      <w:r w:rsidRPr="008B66DC">
        <w:rPr>
          <w:rFonts w:ascii="Times New Roman" w:hAnsi="Times New Roman" w:cs="Times New Roman"/>
          <w:szCs w:val="24"/>
          <w:lang w:val="pt-BR"/>
        </w:rPr>
        <w:t>ABET</w:t>
      </w:r>
      <w:r w:rsidR="00A15440" w:rsidRPr="008B66DC">
        <w:rPr>
          <w:rFonts w:ascii="Times New Roman" w:hAnsi="Times New Roman" w:cs="Times New Roman"/>
          <w:szCs w:val="24"/>
          <w:lang w:val="pt-BR"/>
        </w:rPr>
        <w:t xml:space="preserve"> - </w:t>
      </w:r>
      <w:proofErr w:type="spellStart"/>
      <w:r w:rsidR="00A15440" w:rsidRPr="008B66DC">
        <w:rPr>
          <w:rFonts w:ascii="Times New Roman" w:hAnsi="Times New Roman" w:cs="Times New Roman"/>
          <w:i/>
          <w:szCs w:val="24"/>
          <w:lang w:val="pt-BR"/>
        </w:rPr>
        <w:t>Accreditation</w:t>
      </w:r>
      <w:proofErr w:type="spellEnd"/>
      <w:r w:rsidR="00A15440" w:rsidRPr="008B66DC">
        <w:rPr>
          <w:rFonts w:ascii="Times New Roman" w:hAnsi="Times New Roman" w:cs="Times New Roman"/>
          <w:i/>
          <w:szCs w:val="24"/>
          <w:lang w:val="pt-BR"/>
        </w:rPr>
        <w:t xml:space="preserve"> </w:t>
      </w:r>
      <w:proofErr w:type="spellStart"/>
      <w:r w:rsidR="00A15440" w:rsidRPr="008B66DC">
        <w:rPr>
          <w:rFonts w:ascii="Times New Roman" w:hAnsi="Times New Roman" w:cs="Times New Roman"/>
          <w:i/>
          <w:szCs w:val="24"/>
          <w:lang w:val="pt-BR"/>
        </w:rPr>
        <w:t>Board</w:t>
      </w:r>
      <w:proofErr w:type="spellEnd"/>
      <w:r w:rsidR="00A15440" w:rsidRPr="008B66DC">
        <w:rPr>
          <w:rFonts w:ascii="Times New Roman" w:hAnsi="Times New Roman" w:cs="Times New Roman"/>
          <w:i/>
          <w:szCs w:val="24"/>
          <w:lang w:val="pt-BR"/>
        </w:rPr>
        <w:t xml:space="preserve"> for </w:t>
      </w:r>
      <w:proofErr w:type="spellStart"/>
      <w:r w:rsidR="00A15440" w:rsidRPr="008B66DC">
        <w:rPr>
          <w:rFonts w:ascii="Times New Roman" w:hAnsi="Times New Roman" w:cs="Times New Roman"/>
          <w:i/>
          <w:szCs w:val="24"/>
          <w:lang w:val="pt-BR"/>
        </w:rPr>
        <w:t>Engineeringand</w:t>
      </w:r>
      <w:proofErr w:type="spellEnd"/>
      <w:r w:rsidR="00A15440" w:rsidRPr="008B66DC">
        <w:rPr>
          <w:rFonts w:ascii="Times New Roman" w:hAnsi="Times New Roman" w:cs="Times New Roman"/>
          <w:i/>
          <w:szCs w:val="24"/>
          <w:lang w:val="pt-BR"/>
        </w:rPr>
        <w:t xml:space="preserve"> Technology</w:t>
      </w:r>
      <w:r w:rsidR="00A15440" w:rsidRPr="008B66DC">
        <w:rPr>
          <w:rFonts w:ascii="Times New Roman" w:hAnsi="Times New Roman" w:cs="Times New Roman"/>
          <w:szCs w:val="24"/>
          <w:lang w:val="pt-BR"/>
        </w:rPr>
        <w:t>)</w:t>
      </w:r>
      <w:r w:rsidRPr="008B66DC">
        <w:rPr>
          <w:rFonts w:ascii="Times New Roman" w:hAnsi="Times New Roman" w:cs="Times New Roman"/>
          <w:szCs w:val="24"/>
          <w:lang w:val="pt-BR"/>
        </w:rPr>
        <w:t xml:space="preserve"> para adicionar aos currículos de engenharia química de bacharelado requis</w:t>
      </w:r>
      <w:r w:rsidR="000244FF" w:rsidRPr="008B66DC">
        <w:rPr>
          <w:rFonts w:ascii="Times New Roman" w:hAnsi="Times New Roman" w:cs="Times New Roman"/>
          <w:szCs w:val="24"/>
          <w:lang w:val="pt-BR"/>
        </w:rPr>
        <w:t>itos de segurança de processos.</w:t>
      </w:r>
    </w:p>
    <w:p w:rsidR="0058110A" w:rsidRPr="008B66DC" w:rsidRDefault="0058110A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>Informar a todos os alunos sobre o Programa de Certificado de Segurança do Processo e incenti</w:t>
      </w:r>
      <w:r w:rsidR="000244FF" w:rsidRPr="008B66DC">
        <w:rPr>
          <w:rFonts w:ascii="Times New Roman" w:hAnsi="Times New Roman" w:cs="Times New Roman"/>
          <w:szCs w:val="24"/>
          <w:lang w:val="pt-BR"/>
        </w:rPr>
        <w:t>var a participação no programa.</w:t>
      </w:r>
    </w:p>
    <w:p w:rsidR="00D31E1C" w:rsidRPr="008B66DC" w:rsidRDefault="0058110A" w:rsidP="00236340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 xml:space="preserve">O Comitê de Educação e </w:t>
      </w:r>
      <w:proofErr w:type="spellStart"/>
      <w:r w:rsidRPr="008B66DC">
        <w:rPr>
          <w:rFonts w:ascii="Times New Roman" w:hAnsi="Times New Roman" w:cs="Times New Roman"/>
          <w:lang w:val="pt-BR"/>
        </w:rPr>
        <w:t>Acreditação</w:t>
      </w:r>
      <w:proofErr w:type="spellEnd"/>
      <w:r w:rsidRPr="008B66DC">
        <w:rPr>
          <w:rFonts w:ascii="Times New Roman" w:hAnsi="Times New Roman" w:cs="Times New Roman"/>
          <w:lang w:val="pt-BR"/>
        </w:rPr>
        <w:t xml:space="preserve"> (</w:t>
      </w:r>
      <w:proofErr w:type="spellStart"/>
      <w:r w:rsidRPr="008B66DC">
        <w:rPr>
          <w:rFonts w:ascii="Times New Roman" w:hAnsi="Times New Roman" w:cs="Times New Roman"/>
          <w:lang w:val="pt-BR"/>
        </w:rPr>
        <w:t>E&amp;A</w:t>
      </w:r>
      <w:proofErr w:type="spellEnd"/>
      <w:r w:rsidRPr="008B66DC">
        <w:rPr>
          <w:rFonts w:ascii="Times New Roman" w:hAnsi="Times New Roman" w:cs="Times New Roman"/>
          <w:lang w:val="pt-BR"/>
        </w:rPr>
        <w:t xml:space="preserve">) da </w:t>
      </w:r>
      <w:proofErr w:type="spellStart"/>
      <w:r w:rsidRPr="008B66DC">
        <w:rPr>
          <w:rFonts w:ascii="Times New Roman" w:hAnsi="Times New Roman" w:cs="Times New Roman"/>
          <w:lang w:val="pt-BR"/>
        </w:rPr>
        <w:t>AIChE</w:t>
      </w:r>
      <w:proofErr w:type="spellEnd"/>
      <w:r w:rsidRPr="008B66DC">
        <w:rPr>
          <w:rFonts w:ascii="Times New Roman" w:hAnsi="Times New Roman" w:cs="Times New Roman"/>
          <w:lang w:val="pt-BR"/>
        </w:rPr>
        <w:t xml:space="preserve"> respondeu a essas recomendações. A E&amp;A trabalhou com a ABET para atualizar seus critérios de acreditação específicos para engenharia química para incluir a conscientização sobre os </w:t>
      </w:r>
      <w:r w:rsidR="00E3765A" w:rsidRPr="008B66DC">
        <w:rPr>
          <w:rFonts w:ascii="Times New Roman" w:hAnsi="Times New Roman" w:cs="Times New Roman"/>
          <w:lang w:val="pt-BR"/>
        </w:rPr>
        <w:t>perigos. A</w:t>
      </w:r>
      <w:r w:rsidRPr="008B66DC">
        <w:rPr>
          <w:rFonts w:ascii="Times New Roman" w:hAnsi="Times New Roman" w:cs="Times New Roman"/>
          <w:lang w:val="pt-BR"/>
        </w:rPr>
        <w:t xml:space="preserve"> partir de 2010, os critérios da ABET passaram a declarar que o currículo deve fornecer uma base completa nas ciências básicas, incluindo química, física e biologia, com algum conteúdo em nível avançado, conforme apropriado aos objetivos do programa. </w:t>
      </w:r>
      <w:r w:rsidR="00A15440" w:rsidRPr="008B66DC">
        <w:rPr>
          <w:rFonts w:ascii="Times New Roman" w:hAnsi="Times New Roman" w:cs="Times New Roman"/>
          <w:lang w:val="pt-BR"/>
        </w:rPr>
        <w:t>O</w:t>
      </w:r>
      <w:r w:rsidRPr="008B66DC">
        <w:rPr>
          <w:rFonts w:ascii="Times New Roman" w:hAnsi="Times New Roman" w:cs="Times New Roman"/>
          <w:lang w:val="pt-BR"/>
        </w:rPr>
        <w:t xml:space="preserve"> currículo passa também a incluir a aplicação de engenharia dessas ciências básicas no projeto, análise e controle de processos químicos, físicos e / ou biológicos, incluindo os riscos associados a esses processos. </w:t>
      </w:r>
    </w:p>
    <w:p w:rsidR="0058110A" w:rsidRPr="008B66DC" w:rsidRDefault="0058110A" w:rsidP="00236340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>O Manual de Políticas e Procedimentos da ABET também passa a exigir que as universidades assegurem que o ensino e aprendizagem de segurança de processos sejam garantidos como parte dos resultados dos estudantes e dos seus indicadores de desempenho.O requisito de horas de crédito para um diploma de engenharia química nos EUA varia entre as universidades, mas geralmente requer entre 125 e 135 horas de crédito equivalentes por semestre</w:t>
      </w:r>
      <w:r w:rsidR="00367C20" w:rsidRPr="008B66DC">
        <w:rPr>
          <w:rFonts w:ascii="Times New Roman" w:hAnsi="Times New Roman" w:cs="Times New Roman"/>
          <w:lang w:val="pt-BR"/>
        </w:rPr>
        <w:t xml:space="preserve"> [</w:t>
      </w:r>
      <w:r w:rsidR="0075224A" w:rsidRPr="008B66DC">
        <w:rPr>
          <w:rFonts w:ascii="Times New Roman" w:hAnsi="Times New Roman" w:cs="Times New Roman"/>
          <w:lang w:val="pt-BR"/>
        </w:rPr>
        <w:t>5</w:t>
      </w:r>
      <w:r w:rsidR="00367C20" w:rsidRPr="008B66DC">
        <w:rPr>
          <w:rFonts w:ascii="Times New Roman" w:hAnsi="Times New Roman" w:cs="Times New Roman"/>
          <w:lang w:val="pt-BR"/>
        </w:rPr>
        <w:t>]</w:t>
      </w:r>
      <w:r w:rsidRPr="008B66DC">
        <w:rPr>
          <w:rFonts w:ascii="Times New Roman" w:hAnsi="Times New Roman" w:cs="Times New Roman"/>
          <w:lang w:val="pt-BR"/>
        </w:rPr>
        <w:t xml:space="preserve">. Encontrar espaço no currículo para incorporar o material de segurança do processo é um dos principais desafios associados </w:t>
      </w:r>
      <w:r w:rsidR="004C04DC" w:rsidRPr="008B66DC">
        <w:rPr>
          <w:rFonts w:ascii="Times New Roman" w:hAnsi="Times New Roman" w:cs="Times New Roman"/>
          <w:lang w:val="pt-BR"/>
        </w:rPr>
        <w:t>aos novos requisitos</w:t>
      </w:r>
      <w:r w:rsidRPr="008B66DC">
        <w:rPr>
          <w:rFonts w:ascii="Times New Roman" w:hAnsi="Times New Roman" w:cs="Times New Roman"/>
          <w:lang w:val="pt-BR"/>
        </w:rPr>
        <w:t xml:space="preserve"> da ABET. Normalmente, os estudantes precisam entre 15 e 18 horas de crédito por semestre de tópicos de </w:t>
      </w:r>
      <w:proofErr w:type="spellStart"/>
      <w:r w:rsidRPr="008B66DC">
        <w:rPr>
          <w:rFonts w:ascii="Times New Roman" w:hAnsi="Times New Roman" w:cs="Times New Roman"/>
          <w:lang w:val="pt-BR"/>
        </w:rPr>
        <w:t>segunça</w:t>
      </w:r>
      <w:proofErr w:type="spellEnd"/>
      <w:r w:rsidRPr="008B66DC">
        <w:rPr>
          <w:rFonts w:ascii="Times New Roman" w:hAnsi="Times New Roman" w:cs="Times New Roman"/>
          <w:lang w:val="pt-BR"/>
        </w:rPr>
        <w:t xml:space="preserve"> de processo em um programa de engen</w:t>
      </w:r>
      <w:r w:rsidR="002F16C3" w:rsidRPr="008B66DC">
        <w:rPr>
          <w:rFonts w:ascii="Times New Roman" w:hAnsi="Times New Roman" w:cs="Times New Roman"/>
          <w:lang w:val="pt-BR"/>
        </w:rPr>
        <w:t xml:space="preserve">haria química, o que equivale de 4 a 6 disciplinas </w:t>
      </w:r>
      <w:r w:rsidRPr="008B66DC">
        <w:rPr>
          <w:rFonts w:ascii="Times New Roman" w:hAnsi="Times New Roman" w:cs="Times New Roman"/>
          <w:lang w:val="pt-BR"/>
        </w:rPr>
        <w:t xml:space="preserve">diferentes ao longo do curso. Isso deixa muito pouco espaço extra na carga </w:t>
      </w:r>
      <w:r w:rsidR="002F16C3" w:rsidRPr="008B66DC">
        <w:rPr>
          <w:rFonts w:ascii="Times New Roman" w:hAnsi="Times New Roman" w:cs="Times New Roman"/>
          <w:lang w:val="pt-BR"/>
        </w:rPr>
        <w:t>horária</w:t>
      </w:r>
      <w:r w:rsidRPr="008B66DC">
        <w:rPr>
          <w:rFonts w:ascii="Times New Roman" w:hAnsi="Times New Roman" w:cs="Times New Roman"/>
          <w:lang w:val="pt-BR"/>
        </w:rPr>
        <w:t xml:space="preserve"> e pode prejudicar as oportunidades do aluno de fazer aulas eletivas e não relacionadas à engenharia. A incorporação de tópicos de segurança nos cursos existentes também pode ser difícil, especialmente se </w:t>
      </w:r>
      <w:r w:rsidR="00ED40C8" w:rsidRPr="008B66DC">
        <w:rPr>
          <w:rFonts w:ascii="Times New Roman" w:hAnsi="Times New Roman" w:cs="Times New Roman"/>
          <w:lang w:val="pt-BR"/>
        </w:rPr>
        <w:t>a percepção dos</w:t>
      </w:r>
      <w:r w:rsidR="00C832B5" w:rsidRPr="008B66DC">
        <w:rPr>
          <w:rFonts w:ascii="Times New Roman" w:hAnsi="Times New Roman" w:cs="Times New Roman"/>
          <w:lang w:val="pt-BR"/>
        </w:rPr>
        <w:t>professores,</w:t>
      </w:r>
      <w:r w:rsidRPr="008B66DC">
        <w:rPr>
          <w:rFonts w:ascii="Times New Roman" w:hAnsi="Times New Roman" w:cs="Times New Roman"/>
          <w:lang w:val="pt-BR"/>
        </w:rPr>
        <w:t xml:space="preserve"> de acordo com os requisitos curriculares existentes, </w:t>
      </w:r>
      <w:r w:rsidR="00ED40C8" w:rsidRPr="008B66DC">
        <w:rPr>
          <w:rFonts w:ascii="Times New Roman" w:hAnsi="Times New Roman" w:cs="Times New Roman"/>
          <w:lang w:val="pt-BR"/>
        </w:rPr>
        <w:t xml:space="preserve">é que </w:t>
      </w:r>
      <w:r w:rsidRPr="008B66DC">
        <w:rPr>
          <w:rFonts w:ascii="Times New Roman" w:hAnsi="Times New Roman" w:cs="Times New Roman"/>
          <w:lang w:val="pt-BR"/>
        </w:rPr>
        <w:t>o material técnico de seus cursos não recebe a devida alocação de tempo ou foco.</w:t>
      </w:r>
    </w:p>
    <w:p w:rsidR="0058110A" w:rsidRPr="008B66DC" w:rsidRDefault="0058110A" w:rsidP="00236340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>Como alte</w:t>
      </w:r>
      <w:r w:rsidR="00F52677" w:rsidRPr="008B66DC">
        <w:rPr>
          <w:rFonts w:ascii="Times New Roman" w:hAnsi="Times New Roman" w:cs="Times New Roman"/>
          <w:lang w:val="pt-BR"/>
        </w:rPr>
        <w:t>r</w:t>
      </w:r>
      <w:r w:rsidRPr="008B66DC">
        <w:rPr>
          <w:rFonts w:ascii="Times New Roman" w:hAnsi="Times New Roman" w:cs="Times New Roman"/>
          <w:lang w:val="pt-BR"/>
        </w:rPr>
        <w:t xml:space="preserve">nativa o </w:t>
      </w:r>
      <w:proofErr w:type="spellStart"/>
      <w:r w:rsidRPr="008B66DC">
        <w:rPr>
          <w:rFonts w:ascii="Times New Roman" w:hAnsi="Times New Roman" w:cs="Times New Roman"/>
          <w:lang w:val="pt-BR"/>
        </w:rPr>
        <w:t>AIChE</w:t>
      </w:r>
      <w:proofErr w:type="spellEnd"/>
      <w:r w:rsidR="002F16C3" w:rsidRPr="008B66DC">
        <w:rPr>
          <w:rFonts w:ascii="Times New Roman" w:hAnsi="Times New Roman" w:cs="Times New Roman"/>
          <w:lang w:val="pt-BR"/>
        </w:rPr>
        <w:t>(</w:t>
      </w:r>
      <w:proofErr w:type="spellStart"/>
      <w:r w:rsidR="002F16C3" w:rsidRPr="008B66DC">
        <w:rPr>
          <w:rFonts w:ascii="Times New Roman" w:hAnsi="Times New Roman" w:cs="Times New Roman"/>
          <w:i/>
          <w:lang w:val="pt-BR"/>
        </w:rPr>
        <w:t>American</w:t>
      </w:r>
      <w:proofErr w:type="spellEnd"/>
      <w:r w:rsidR="002F16C3" w:rsidRPr="008B66DC">
        <w:rPr>
          <w:rFonts w:ascii="Times New Roman" w:hAnsi="Times New Roman" w:cs="Times New Roman"/>
          <w:i/>
          <w:lang w:val="pt-BR"/>
        </w:rPr>
        <w:t xml:space="preserve"> </w:t>
      </w:r>
      <w:proofErr w:type="spellStart"/>
      <w:r w:rsidR="002F16C3" w:rsidRPr="008B66DC">
        <w:rPr>
          <w:rFonts w:ascii="Times New Roman" w:hAnsi="Times New Roman" w:cs="Times New Roman"/>
          <w:i/>
          <w:lang w:val="pt-BR"/>
        </w:rPr>
        <w:t>InstituteofChemicalEngineers</w:t>
      </w:r>
      <w:proofErr w:type="spellEnd"/>
      <w:r w:rsidR="002F16C3" w:rsidRPr="008B66DC">
        <w:rPr>
          <w:rFonts w:ascii="Times New Roman" w:hAnsi="Times New Roman" w:cs="Times New Roman"/>
          <w:lang w:val="pt-BR"/>
        </w:rPr>
        <w:t xml:space="preserve">) </w:t>
      </w:r>
      <w:r w:rsidR="00F52677" w:rsidRPr="008B66DC">
        <w:rPr>
          <w:rFonts w:ascii="Times New Roman" w:hAnsi="Times New Roman" w:cs="Times New Roman"/>
          <w:lang w:val="pt-BR"/>
        </w:rPr>
        <w:t>por meio</w:t>
      </w:r>
      <w:r w:rsidRPr="008B66DC">
        <w:rPr>
          <w:rFonts w:ascii="Times New Roman" w:hAnsi="Times New Roman" w:cs="Times New Roman"/>
          <w:lang w:val="pt-BR"/>
        </w:rPr>
        <w:t xml:space="preserve"> do seu Centro de Segurança de Processos Quimicos (CCPS) cria o programa de segurança na educação em engenharia química (</w:t>
      </w:r>
      <w:proofErr w:type="spellStart"/>
      <w:r w:rsidRPr="008B66DC">
        <w:rPr>
          <w:rFonts w:ascii="Times New Roman" w:hAnsi="Times New Roman" w:cs="Times New Roman"/>
          <w:lang w:val="pt-BR"/>
        </w:rPr>
        <w:t>SAChE</w:t>
      </w:r>
      <w:r w:rsidR="000244FF" w:rsidRPr="008B66DC">
        <w:rPr>
          <w:rFonts w:ascii="Times New Roman" w:hAnsi="Times New Roman" w:cs="Times New Roman"/>
          <w:lang w:val="pt-BR"/>
        </w:rPr>
        <w:t>–</w:t>
      </w:r>
      <w:r w:rsidR="002F16C3" w:rsidRPr="008B66DC">
        <w:rPr>
          <w:rFonts w:ascii="Times New Roman" w:hAnsi="Times New Roman" w:cs="Times New Roman"/>
          <w:i/>
          <w:lang w:val="pt-BR"/>
        </w:rPr>
        <w:t>SafetyandChemicalEngineeringEducation</w:t>
      </w:r>
      <w:proofErr w:type="spellEnd"/>
      <w:r w:rsidRPr="008B66DC">
        <w:rPr>
          <w:rFonts w:ascii="Times New Roman" w:hAnsi="Times New Roman" w:cs="Times New Roman"/>
          <w:lang w:val="pt-BR"/>
        </w:rPr>
        <w:t>)</w:t>
      </w:r>
      <w:r w:rsidR="002F16C3" w:rsidRPr="008B66DC">
        <w:rPr>
          <w:rFonts w:ascii="Times New Roman" w:hAnsi="Times New Roman" w:cs="Times New Roman"/>
          <w:lang w:val="pt-BR"/>
        </w:rPr>
        <w:t xml:space="preserve">. </w:t>
      </w:r>
      <w:r w:rsidRPr="008B66DC">
        <w:rPr>
          <w:rFonts w:ascii="Times New Roman" w:hAnsi="Times New Roman" w:cs="Times New Roman"/>
          <w:lang w:val="pt-BR"/>
        </w:rPr>
        <w:t xml:space="preserve">Em fevereiro de 2010, o </w:t>
      </w:r>
      <w:proofErr w:type="spellStart"/>
      <w:r w:rsidRPr="008B66DC">
        <w:rPr>
          <w:rFonts w:ascii="Times New Roman" w:hAnsi="Times New Roman" w:cs="Times New Roman"/>
          <w:lang w:val="pt-BR"/>
        </w:rPr>
        <w:t>SAChEpublicou</w:t>
      </w:r>
      <w:proofErr w:type="spellEnd"/>
      <w:r w:rsidRPr="008B66DC">
        <w:rPr>
          <w:rFonts w:ascii="Times New Roman" w:hAnsi="Times New Roman" w:cs="Times New Roman"/>
          <w:lang w:val="pt-BR"/>
        </w:rPr>
        <w:t xml:space="preserve"> recomendações que qualificariam </w:t>
      </w:r>
      <w:r w:rsidR="00F52677" w:rsidRPr="008B66DC">
        <w:rPr>
          <w:rFonts w:ascii="Times New Roman" w:hAnsi="Times New Roman" w:cs="Times New Roman"/>
          <w:lang w:val="pt-BR"/>
        </w:rPr>
        <w:t>e</w:t>
      </w:r>
      <w:r w:rsidRPr="008B66DC">
        <w:rPr>
          <w:rFonts w:ascii="Times New Roman" w:hAnsi="Times New Roman" w:cs="Times New Roman"/>
          <w:lang w:val="pt-BR"/>
        </w:rPr>
        <w:t xml:space="preserve">ngenheiros </w:t>
      </w:r>
      <w:r w:rsidR="00F52677" w:rsidRPr="008B66DC">
        <w:rPr>
          <w:rFonts w:ascii="Times New Roman" w:hAnsi="Times New Roman" w:cs="Times New Roman"/>
          <w:lang w:val="pt-BR"/>
        </w:rPr>
        <w:t>q</w:t>
      </w:r>
      <w:r w:rsidRPr="008B66DC">
        <w:rPr>
          <w:rFonts w:ascii="Times New Roman" w:hAnsi="Times New Roman" w:cs="Times New Roman"/>
          <w:lang w:val="pt-BR"/>
        </w:rPr>
        <w:t>uímicos graduados para a indústria</w:t>
      </w:r>
      <w:r w:rsidR="002F2773" w:rsidRPr="008B66DC">
        <w:rPr>
          <w:rFonts w:ascii="Times New Roman" w:hAnsi="Times New Roman" w:cs="Times New Roman"/>
          <w:lang w:val="pt-BR"/>
        </w:rPr>
        <w:t xml:space="preserve"> [</w:t>
      </w:r>
      <w:r w:rsidR="0075224A" w:rsidRPr="008B66DC">
        <w:rPr>
          <w:rFonts w:ascii="Times New Roman" w:hAnsi="Times New Roman" w:cs="Times New Roman"/>
          <w:lang w:val="pt-BR"/>
        </w:rPr>
        <w:t>6</w:t>
      </w:r>
      <w:r w:rsidR="002F2773" w:rsidRPr="008B66DC">
        <w:rPr>
          <w:rFonts w:ascii="Times New Roman" w:hAnsi="Times New Roman" w:cs="Times New Roman"/>
          <w:lang w:val="pt-BR"/>
        </w:rPr>
        <w:t>]</w:t>
      </w:r>
      <w:r w:rsidRPr="008B66DC">
        <w:rPr>
          <w:rFonts w:ascii="Times New Roman" w:hAnsi="Times New Roman" w:cs="Times New Roman"/>
          <w:lang w:val="pt-BR"/>
        </w:rPr>
        <w:t>.</w:t>
      </w:r>
      <w:r w:rsidR="002F16C3" w:rsidRPr="008B66DC">
        <w:rPr>
          <w:rFonts w:ascii="Times New Roman" w:hAnsi="Times New Roman" w:cs="Times New Roman"/>
          <w:lang w:val="pt-BR"/>
        </w:rPr>
        <w:t xml:space="preserve"> Essas recomendações passaram então a </w:t>
      </w:r>
      <w:r w:rsidRPr="008B66DC">
        <w:rPr>
          <w:rFonts w:ascii="Times New Roman" w:hAnsi="Times New Roman" w:cs="Times New Roman"/>
          <w:lang w:val="pt-BR"/>
        </w:rPr>
        <w:t>servir como orientações para abordar os requisitos ABET</w:t>
      </w:r>
      <w:r w:rsidR="002F16C3" w:rsidRPr="008B66DC">
        <w:rPr>
          <w:rFonts w:ascii="Times New Roman" w:hAnsi="Times New Roman" w:cs="Times New Roman"/>
          <w:lang w:val="pt-BR"/>
        </w:rPr>
        <w:t>, e incluem:</w:t>
      </w:r>
    </w:p>
    <w:p w:rsidR="0058110A" w:rsidRPr="008B66DC" w:rsidRDefault="0058110A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>Compreender a importância da segurança do processo</w:t>
      </w:r>
      <w:r w:rsidR="002F16C3" w:rsidRPr="008B66DC">
        <w:rPr>
          <w:rFonts w:ascii="Times New Roman" w:hAnsi="Times New Roman" w:cs="Times New Roman"/>
          <w:szCs w:val="24"/>
          <w:lang w:val="pt-BR"/>
        </w:rPr>
        <w:t>;</w:t>
      </w:r>
    </w:p>
    <w:p w:rsidR="0058110A" w:rsidRPr="008B66DC" w:rsidRDefault="0058110A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>A capacidade de caracterizar perigos associados a produtos químicos</w:t>
      </w:r>
      <w:r w:rsidR="002F16C3" w:rsidRPr="008B66DC">
        <w:rPr>
          <w:rFonts w:ascii="Times New Roman" w:hAnsi="Times New Roman" w:cs="Times New Roman"/>
          <w:szCs w:val="24"/>
          <w:lang w:val="pt-BR"/>
        </w:rPr>
        <w:t>;</w:t>
      </w:r>
    </w:p>
    <w:p w:rsidR="0058110A" w:rsidRPr="008B66DC" w:rsidRDefault="0058110A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>Aplicação de conceitos de projetos inerentemente mais seguro</w:t>
      </w:r>
      <w:r w:rsidR="002F16C3" w:rsidRPr="008B66DC">
        <w:rPr>
          <w:rFonts w:ascii="Times New Roman" w:hAnsi="Times New Roman" w:cs="Times New Roman"/>
          <w:szCs w:val="24"/>
          <w:lang w:val="pt-BR"/>
        </w:rPr>
        <w:t>;</w:t>
      </w:r>
    </w:p>
    <w:p w:rsidR="0058110A" w:rsidRPr="008B66DC" w:rsidRDefault="0058110A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>Entender como mitigar os perigos</w:t>
      </w:r>
      <w:r w:rsidR="002F16C3" w:rsidRPr="008B66DC">
        <w:rPr>
          <w:rFonts w:ascii="Times New Roman" w:hAnsi="Times New Roman" w:cs="Times New Roman"/>
          <w:szCs w:val="24"/>
          <w:lang w:val="pt-BR"/>
        </w:rPr>
        <w:t>;</w:t>
      </w:r>
    </w:p>
    <w:p w:rsidR="0058110A" w:rsidRPr="008B66DC" w:rsidRDefault="00344EC5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>Ter conhecimento d</w:t>
      </w:r>
      <w:r w:rsidR="0058110A" w:rsidRPr="008B66DC">
        <w:rPr>
          <w:rFonts w:ascii="Times New Roman" w:hAnsi="Times New Roman" w:cs="Times New Roman"/>
          <w:szCs w:val="24"/>
          <w:lang w:val="pt-BR"/>
        </w:rPr>
        <w:t>os principais regulamentos relacionados à segurança</w:t>
      </w:r>
      <w:r w:rsidR="002F16C3" w:rsidRPr="008B66DC">
        <w:rPr>
          <w:rFonts w:ascii="Times New Roman" w:hAnsi="Times New Roman" w:cs="Times New Roman"/>
          <w:szCs w:val="24"/>
          <w:lang w:val="pt-BR"/>
        </w:rPr>
        <w:t>;</w:t>
      </w:r>
    </w:p>
    <w:p w:rsidR="0058110A" w:rsidRPr="008B66DC" w:rsidRDefault="0058110A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>Compreensão dos impactos de incidentes com fábricas de produtos químicos devido a liberações e exposições</w:t>
      </w:r>
      <w:r w:rsidR="002F16C3" w:rsidRPr="008B66DC">
        <w:rPr>
          <w:rFonts w:ascii="Times New Roman" w:hAnsi="Times New Roman" w:cs="Times New Roman"/>
          <w:szCs w:val="24"/>
          <w:lang w:val="pt-BR"/>
        </w:rPr>
        <w:t>;</w:t>
      </w:r>
    </w:p>
    <w:p w:rsidR="0058110A" w:rsidRPr="008B66DC" w:rsidRDefault="002530E8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 xml:space="preserve">Domínio </w:t>
      </w:r>
      <w:r w:rsidR="0058110A" w:rsidRPr="008B66DC">
        <w:rPr>
          <w:rFonts w:ascii="Times New Roman" w:hAnsi="Times New Roman" w:cs="Times New Roman"/>
          <w:szCs w:val="24"/>
          <w:lang w:val="pt-BR"/>
        </w:rPr>
        <w:t>em pelo menos um procedimento de identificação de perigos</w:t>
      </w:r>
      <w:r w:rsidR="002F16C3" w:rsidRPr="008B66DC">
        <w:rPr>
          <w:rFonts w:ascii="Times New Roman" w:hAnsi="Times New Roman" w:cs="Times New Roman"/>
          <w:szCs w:val="24"/>
          <w:lang w:val="pt-BR"/>
        </w:rPr>
        <w:t>;</w:t>
      </w:r>
    </w:p>
    <w:p w:rsidR="0058110A" w:rsidRPr="008B66DC" w:rsidRDefault="00344EC5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 xml:space="preserve">Ter conhecimento sobre </w:t>
      </w:r>
      <w:r w:rsidR="0058110A" w:rsidRPr="008B66DC">
        <w:rPr>
          <w:rFonts w:ascii="Times New Roman" w:hAnsi="Times New Roman" w:cs="Times New Roman"/>
          <w:szCs w:val="24"/>
          <w:lang w:val="pt-BR"/>
        </w:rPr>
        <w:t>a avaliação de riscos</w:t>
      </w:r>
      <w:r w:rsidR="002F16C3" w:rsidRPr="008B66DC">
        <w:rPr>
          <w:rFonts w:ascii="Times New Roman" w:hAnsi="Times New Roman" w:cs="Times New Roman"/>
          <w:szCs w:val="24"/>
          <w:lang w:val="pt-BR"/>
        </w:rPr>
        <w:t>.</w:t>
      </w:r>
    </w:p>
    <w:p w:rsidR="0058110A" w:rsidRPr="008B66DC" w:rsidRDefault="0058110A" w:rsidP="00236340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 xml:space="preserve">Além de formular essas recomendações, o </w:t>
      </w:r>
      <w:proofErr w:type="spellStart"/>
      <w:r w:rsidRPr="008B66DC">
        <w:rPr>
          <w:rFonts w:ascii="Times New Roman" w:hAnsi="Times New Roman" w:cs="Times New Roman"/>
          <w:lang w:val="pt-BR"/>
        </w:rPr>
        <w:t>SAChE</w:t>
      </w:r>
      <w:proofErr w:type="spellEnd"/>
      <w:r w:rsidRPr="008B66DC">
        <w:rPr>
          <w:rFonts w:ascii="Times New Roman" w:hAnsi="Times New Roman" w:cs="Times New Roman"/>
          <w:lang w:val="pt-BR"/>
        </w:rPr>
        <w:t xml:space="preserve"> produz módulos de treinamento</w:t>
      </w:r>
      <w:r w:rsidR="002530E8" w:rsidRPr="008B66DC">
        <w:rPr>
          <w:rFonts w:ascii="Times New Roman" w:hAnsi="Times New Roman" w:cs="Times New Roman"/>
          <w:lang w:val="pt-BR"/>
        </w:rPr>
        <w:t>, gratuitos para os alunos de graduação,</w:t>
      </w:r>
      <w:r w:rsidRPr="008B66DC">
        <w:rPr>
          <w:rFonts w:ascii="Times New Roman" w:hAnsi="Times New Roman" w:cs="Times New Roman"/>
          <w:lang w:val="pt-BR"/>
        </w:rPr>
        <w:t xml:space="preserve">para a segurança de processos nas universidades e na indústria. </w:t>
      </w:r>
      <w:r w:rsidR="002F16C3" w:rsidRPr="008B66DC">
        <w:rPr>
          <w:rFonts w:ascii="Times New Roman" w:hAnsi="Times New Roman" w:cs="Times New Roman"/>
          <w:lang w:val="pt-BR"/>
        </w:rPr>
        <w:t xml:space="preserve">Os módulos </w:t>
      </w:r>
      <w:proofErr w:type="spellStart"/>
      <w:r w:rsidR="002F16C3" w:rsidRPr="008B66DC">
        <w:rPr>
          <w:rFonts w:ascii="Times New Roman" w:hAnsi="Times New Roman" w:cs="Times New Roman"/>
          <w:lang w:val="pt-BR"/>
        </w:rPr>
        <w:t>SAChE</w:t>
      </w:r>
      <w:proofErr w:type="spellEnd"/>
      <w:r w:rsidR="002F16C3" w:rsidRPr="008B66DC">
        <w:rPr>
          <w:rFonts w:ascii="Times New Roman" w:hAnsi="Times New Roman" w:cs="Times New Roman"/>
          <w:lang w:val="pt-BR"/>
        </w:rPr>
        <w:t xml:space="preserve"> incluem</w:t>
      </w:r>
      <w:r w:rsidR="002530E8" w:rsidRPr="008B66DC">
        <w:rPr>
          <w:rFonts w:ascii="Times New Roman" w:hAnsi="Times New Roman" w:cs="Times New Roman"/>
          <w:lang w:val="pt-BR"/>
        </w:rPr>
        <w:t>, entre outros</w:t>
      </w:r>
      <w:r w:rsidRPr="008B66DC">
        <w:rPr>
          <w:rFonts w:ascii="Times New Roman" w:hAnsi="Times New Roman" w:cs="Times New Roman"/>
          <w:lang w:val="pt-BR"/>
        </w:rPr>
        <w:t>:</w:t>
      </w:r>
    </w:p>
    <w:p w:rsidR="0058110A" w:rsidRPr="008B66DC" w:rsidRDefault="0058110A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>Gerenciamento de segurança de processo</w:t>
      </w:r>
    </w:p>
    <w:p w:rsidR="0058110A" w:rsidRPr="008B66DC" w:rsidRDefault="0058110A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>Processos e projetos inerentemente mais seguros</w:t>
      </w:r>
    </w:p>
    <w:p w:rsidR="0058110A" w:rsidRPr="008B66DC" w:rsidRDefault="0058110A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>Reações descontroladas</w:t>
      </w:r>
    </w:p>
    <w:p w:rsidR="0058110A" w:rsidRPr="008B66DC" w:rsidRDefault="0058110A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lastRenderedPageBreak/>
        <w:t>Riscos de reatividade química e propriedades do material</w:t>
      </w:r>
    </w:p>
    <w:p w:rsidR="0058110A" w:rsidRPr="008B66DC" w:rsidRDefault="0058110A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 xml:space="preserve">Alívio de pressão </w:t>
      </w:r>
    </w:p>
    <w:p w:rsidR="0058110A" w:rsidRPr="008B66DC" w:rsidRDefault="0058110A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>Riscos de explosão</w:t>
      </w:r>
    </w:p>
    <w:p w:rsidR="0058110A" w:rsidRPr="008B66DC" w:rsidRDefault="0058110A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>Transporte e manuseio de produtos químicos, e</w:t>
      </w:r>
    </w:p>
    <w:p w:rsidR="0058110A" w:rsidRPr="008B66DC" w:rsidRDefault="0058110A" w:rsidP="000244FF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>Identificação de perigos do processo e análise de riscos.</w:t>
      </w:r>
    </w:p>
    <w:p w:rsidR="00236340" w:rsidRPr="008B66DC" w:rsidRDefault="00236340" w:rsidP="00236340">
      <w:pPr>
        <w:pStyle w:val="PargrafodaLista"/>
        <w:autoSpaceDE w:val="0"/>
        <w:autoSpaceDN w:val="0"/>
        <w:adjustRightInd w:val="0"/>
        <w:spacing w:before="240" w:after="240" w:line="240" w:lineRule="auto"/>
        <w:ind w:left="714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58110A" w:rsidRPr="008B66DC" w:rsidRDefault="002F16C3" w:rsidP="000244FF">
      <w:pPr>
        <w:pStyle w:val="PargrafodaLista"/>
        <w:numPr>
          <w:ilvl w:val="1"/>
          <w:numId w:val="14"/>
        </w:numPr>
        <w:autoSpaceDE w:val="0"/>
        <w:autoSpaceDN w:val="0"/>
        <w:adjustRightInd w:val="0"/>
        <w:spacing w:before="240"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8B66DC">
        <w:rPr>
          <w:rFonts w:ascii="Times New Roman" w:hAnsi="Times New Roman" w:cs="Times New Roman"/>
          <w:b/>
          <w:sz w:val="24"/>
          <w:szCs w:val="24"/>
          <w:lang w:val="pt-BR"/>
        </w:rPr>
        <w:t>Nos cursos de graduação da Europa</w:t>
      </w:r>
    </w:p>
    <w:p w:rsidR="0058110A" w:rsidRPr="008B66DC" w:rsidRDefault="0058110A" w:rsidP="00236340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>O currículo para a graduação em engenhar</w:t>
      </w:r>
      <w:r w:rsidR="002F16C3" w:rsidRPr="008B66DC">
        <w:rPr>
          <w:rFonts w:ascii="Times New Roman" w:hAnsi="Times New Roman" w:cs="Times New Roman"/>
          <w:lang w:val="pt-BR"/>
        </w:rPr>
        <w:t>i</w:t>
      </w:r>
      <w:r w:rsidRPr="008B66DC">
        <w:rPr>
          <w:rFonts w:ascii="Times New Roman" w:hAnsi="Times New Roman" w:cs="Times New Roman"/>
          <w:lang w:val="pt-BR"/>
        </w:rPr>
        <w:t xml:space="preserve">a nas universidades </w:t>
      </w:r>
      <w:r w:rsidR="008B154B" w:rsidRPr="008B66DC">
        <w:rPr>
          <w:rFonts w:ascii="Times New Roman" w:hAnsi="Times New Roman" w:cs="Times New Roman"/>
          <w:lang w:val="pt-BR"/>
        </w:rPr>
        <w:t>europeias</w:t>
      </w:r>
      <w:r w:rsidRPr="008B66DC">
        <w:rPr>
          <w:rFonts w:ascii="Times New Roman" w:hAnsi="Times New Roman" w:cs="Times New Roman"/>
          <w:lang w:val="pt-BR"/>
        </w:rPr>
        <w:t xml:space="preserve"> foi consolidado pela Declaração de Bolonha (1999)</w:t>
      </w:r>
      <w:r w:rsidR="00367C20" w:rsidRPr="008B66DC">
        <w:rPr>
          <w:rFonts w:ascii="Times New Roman" w:hAnsi="Times New Roman" w:cs="Times New Roman"/>
          <w:lang w:val="pt-BR"/>
        </w:rPr>
        <w:t xml:space="preserve"> [</w:t>
      </w:r>
      <w:r w:rsidR="0075224A" w:rsidRPr="008B66DC">
        <w:rPr>
          <w:rFonts w:ascii="Times New Roman" w:hAnsi="Times New Roman" w:cs="Times New Roman"/>
          <w:lang w:val="pt-BR"/>
        </w:rPr>
        <w:t>7</w:t>
      </w:r>
      <w:r w:rsidR="00367C20" w:rsidRPr="008B66DC">
        <w:rPr>
          <w:rFonts w:ascii="Times New Roman" w:hAnsi="Times New Roman" w:cs="Times New Roman"/>
          <w:lang w:val="pt-BR"/>
        </w:rPr>
        <w:t>]</w:t>
      </w:r>
      <w:r w:rsidR="002530E8" w:rsidRPr="008B66DC">
        <w:rPr>
          <w:rFonts w:ascii="Times New Roman" w:hAnsi="Times New Roman" w:cs="Times New Roman"/>
          <w:lang w:val="pt-BR"/>
        </w:rPr>
        <w:t>,</w:t>
      </w:r>
      <w:r w:rsidRPr="008B66DC">
        <w:rPr>
          <w:rFonts w:ascii="Times New Roman" w:hAnsi="Times New Roman" w:cs="Times New Roman"/>
          <w:lang w:val="pt-BR"/>
        </w:rPr>
        <w:t xml:space="preserve"> assinada </w:t>
      </w:r>
      <w:r w:rsidR="002530E8" w:rsidRPr="008B66DC">
        <w:rPr>
          <w:rFonts w:ascii="Times New Roman" w:hAnsi="Times New Roman" w:cs="Times New Roman"/>
          <w:lang w:val="pt-BR"/>
        </w:rPr>
        <w:t>na ocasião</w:t>
      </w:r>
      <w:r w:rsidRPr="008B66DC">
        <w:rPr>
          <w:rFonts w:ascii="Times New Roman" w:hAnsi="Times New Roman" w:cs="Times New Roman"/>
          <w:lang w:val="pt-BR"/>
        </w:rPr>
        <w:t>por trinta países</w:t>
      </w:r>
      <w:r w:rsidR="002530E8" w:rsidRPr="008B66DC">
        <w:rPr>
          <w:rFonts w:ascii="Times New Roman" w:hAnsi="Times New Roman" w:cs="Times New Roman"/>
          <w:lang w:val="pt-BR"/>
        </w:rPr>
        <w:t>,</w:t>
      </w:r>
      <w:r w:rsidR="002F16C3" w:rsidRPr="008B66DC">
        <w:rPr>
          <w:rFonts w:ascii="Times New Roman" w:hAnsi="Times New Roman" w:cs="Times New Roman"/>
          <w:lang w:val="pt-BR"/>
        </w:rPr>
        <w:t>e que atualmente já conta com 47 signatários</w:t>
      </w:r>
      <w:r w:rsidR="002530E8" w:rsidRPr="008B66DC">
        <w:rPr>
          <w:rFonts w:ascii="Times New Roman" w:hAnsi="Times New Roman" w:cs="Times New Roman"/>
          <w:lang w:val="pt-BR"/>
        </w:rPr>
        <w:t>. Outros acordos foram assinados, comoos</w:t>
      </w:r>
      <w:r w:rsidRPr="008B66DC">
        <w:rPr>
          <w:rFonts w:ascii="Times New Roman" w:hAnsi="Times New Roman" w:cs="Times New Roman"/>
          <w:lang w:val="pt-BR"/>
        </w:rPr>
        <w:t xml:space="preserve"> comunicados de Praga (2001), Berlim (2003),</w:t>
      </w:r>
      <w:proofErr w:type="spellStart"/>
      <w:r w:rsidRPr="008B66DC">
        <w:rPr>
          <w:rFonts w:ascii="Times New Roman" w:hAnsi="Times New Roman" w:cs="Times New Roman"/>
          <w:lang w:val="pt-BR"/>
        </w:rPr>
        <w:t>Bergen</w:t>
      </w:r>
      <w:proofErr w:type="spellEnd"/>
      <w:r w:rsidRPr="008B66DC">
        <w:rPr>
          <w:rFonts w:ascii="Times New Roman" w:hAnsi="Times New Roman" w:cs="Times New Roman"/>
          <w:lang w:val="pt-BR"/>
        </w:rPr>
        <w:t xml:space="preserve"> (2005), Londres (2007), Lovaina (2009), Budapeste, Viena (2010), Bucareste (2012) e Yerevan (2015). A designação comum que sintetiza estas declarações é o Processo de Bolonha, cujo objetivo </w:t>
      </w:r>
      <w:r w:rsidR="00367C20" w:rsidRPr="008B66DC">
        <w:rPr>
          <w:rFonts w:ascii="Times New Roman" w:hAnsi="Times New Roman" w:cs="Times New Roman"/>
          <w:lang w:val="pt-BR"/>
        </w:rPr>
        <w:t>foi</w:t>
      </w:r>
      <w:r w:rsidRPr="008B66DC">
        <w:rPr>
          <w:rFonts w:ascii="Times New Roman" w:hAnsi="Times New Roman" w:cs="Times New Roman"/>
          <w:lang w:val="pt-BR"/>
        </w:rPr>
        <w:t xml:space="preserve"> promover a mobilidade e cidadania europeia pela harmonização do ensino nos diversos países signatários</w:t>
      </w:r>
      <w:r w:rsidR="002530E8" w:rsidRPr="008B66DC">
        <w:rPr>
          <w:rFonts w:ascii="Times New Roman" w:hAnsi="Times New Roman" w:cs="Times New Roman"/>
          <w:lang w:val="pt-BR"/>
        </w:rPr>
        <w:t>, que garante que</w:t>
      </w:r>
      <w:r w:rsidRPr="008B66DC">
        <w:rPr>
          <w:rFonts w:ascii="Times New Roman" w:hAnsi="Times New Roman" w:cs="Times New Roman"/>
          <w:lang w:val="pt-BR"/>
        </w:rPr>
        <w:t xml:space="preserve"> um diploma de qualquer universidade </w:t>
      </w:r>
      <w:r w:rsidR="002530E8" w:rsidRPr="008B66DC">
        <w:rPr>
          <w:rFonts w:ascii="Times New Roman" w:hAnsi="Times New Roman" w:cs="Times New Roman"/>
          <w:lang w:val="pt-BR"/>
        </w:rPr>
        <w:t>de</w:t>
      </w:r>
      <w:r w:rsidRPr="008B66DC">
        <w:rPr>
          <w:rFonts w:ascii="Times New Roman" w:hAnsi="Times New Roman" w:cs="Times New Roman"/>
          <w:lang w:val="pt-BR"/>
        </w:rPr>
        <w:t xml:space="preserve"> qualquer Estado-membro possa ser automaticamente reconhecido nos </w:t>
      </w:r>
      <w:r w:rsidR="00367C20" w:rsidRPr="008B66DC">
        <w:rPr>
          <w:rFonts w:ascii="Times New Roman" w:hAnsi="Times New Roman" w:cs="Times New Roman"/>
          <w:lang w:val="pt-BR"/>
        </w:rPr>
        <w:t>demais</w:t>
      </w:r>
      <w:r w:rsidRPr="008B66DC">
        <w:rPr>
          <w:rFonts w:ascii="Times New Roman" w:hAnsi="Times New Roman" w:cs="Times New Roman"/>
          <w:lang w:val="pt-BR"/>
        </w:rPr>
        <w:t xml:space="preserve">. </w:t>
      </w:r>
    </w:p>
    <w:p w:rsidR="0058110A" w:rsidRPr="008B66DC" w:rsidRDefault="0058110A" w:rsidP="00236340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 xml:space="preserve">O </w:t>
      </w:r>
      <w:proofErr w:type="spellStart"/>
      <w:r w:rsidRPr="008B66DC">
        <w:rPr>
          <w:rFonts w:ascii="Times New Roman" w:hAnsi="Times New Roman" w:cs="Times New Roman"/>
          <w:i/>
          <w:lang w:val="pt-BR"/>
        </w:rPr>
        <w:t>EuropeanCreditTransferandAccumulation</w:t>
      </w:r>
      <w:proofErr w:type="spellEnd"/>
      <w:r w:rsidRPr="008B66DC">
        <w:rPr>
          <w:rFonts w:ascii="Times New Roman" w:hAnsi="Times New Roman" w:cs="Times New Roman"/>
          <w:i/>
          <w:lang w:val="pt-BR"/>
        </w:rPr>
        <w:t xml:space="preserve"> System</w:t>
      </w:r>
      <w:r w:rsidRPr="008B66DC">
        <w:rPr>
          <w:rFonts w:ascii="Times New Roman" w:hAnsi="Times New Roman" w:cs="Times New Roman"/>
          <w:lang w:val="pt-BR"/>
        </w:rPr>
        <w:t xml:space="preserve"> (ECTS) </w:t>
      </w:r>
      <w:r w:rsidR="00271889" w:rsidRPr="008B66DC">
        <w:rPr>
          <w:rFonts w:ascii="Times New Roman" w:hAnsi="Times New Roman" w:cs="Times New Roman"/>
          <w:lang w:val="pt-BR"/>
        </w:rPr>
        <w:t>é</w:t>
      </w:r>
      <w:r w:rsidRPr="008B66DC">
        <w:rPr>
          <w:rFonts w:ascii="Times New Roman" w:hAnsi="Times New Roman" w:cs="Times New Roman"/>
          <w:lang w:val="pt-BR"/>
        </w:rPr>
        <w:t xml:space="preserve"> a escala europeia de classificações </w:t>
      </w:r>
      <w:r w:rsidR="00367C20" w:rsidRPr="008B66DC">
        <w:rPr>
          <w:rFonts w:ascii="Times New Roman" w:hAnsi="Times New Roman" w:cs="Times New Roman"/>
          <w:lang w:val="pt-BR"/>
        </w:rPr>
        <w:t xml:space="preserve">que </w:t>
      </w:r>
      <w:r w:rsidR="00557BC3" w:rsidRPr="008B66DC">
        <w:rPr>
          <w:rFonts w:ascii="Times New Roman" w:hAnsi="Times New Roman" w:cs="Times New Roman"/>
          <w:lang w:val="pt-BR"/>
        </w:rPr>
        <w:t>possibilita</w:t>
      </w:r>
      <w:r w:rsidRPr="008B66DC">
        <w:rPr>
          <w:rFonts w:ascii="Times New Roman" w:hAnsi="Times New Roman" w:cs="Times New Roman"/>
          <w:lang w:val="pt-BR"/>
        </w:rPr>
        <w:t xml:space="preserve"> a mobilidade e as creditações da formação obtida em qualquer dos países aderentes</w:t>
      </w:r>
      <w:r w:rsidR="00557BC3" w:rsidRPr="008B66DC">
        <w:rPr>
          <w:rFonts w:ascii="Times New Roman" w:hAnsi="Times New Roman" w:cs="Times New Roman"/>
          <w:lang w:val="pt-BR"/>
        </w:rPr>
        <w:t>,</w:t>
      </w:r>
      <w:r w:rsidRPr="008B66DC">
        <w:rPr>
          <w:rFonts w:ascii="Times New Roman" w:hAnsi="Times New Roman" w:cs="Times New Roman"/>
          <w:lang w:val="pt-BR"/>
        </w:rPr>
        <w:t xml:space="preserve"> e tem impulsionado muito a mobilidade de estudantes, hoje</w:t>
      </w:r>
      <w:r w:rsidR="00557BC3" w:rsidRPr="008B66DC">
        <w:rPr>
          <w:rFonts w:ascii="Times New Roman" w:hAnsi="Times New Roman" w:cs="Times New Roman"/>
          <w:lang w:val="pt-BR"/>
        </w:rPr>
        <w:t>,</w:t>
      </w:r>
      <w:r w:rsidRPr="008B66DC">
        <w:rPr>
          <w:rFonts w:ascii="Times New Roman" w:hAnsi="Times New Roman" w:cs="Times New Roman"/>
          <w:lang w:val="pt-BR"/>
        </w:rPr>
        <w:t xml:space="preserve"> um fator muito valorizado no percurso acad</w:t>
      </w:r>
      <w:r w:rsidR="00332922" w:rsidRPr="008B66DC">
        <w:rPr>
          <w:rFonts w:ascii="Times New Roman" w:hAnsi="Times New Roman" w:cs="Times New Roman"/>
          <w:lang w:val="pt-BR"/>
        </w:rPr>
        <w:t>ê</w:t>
      </w:r>
      <w:r w:rsidRPr="008B66DC">
        <w:rPr>
          <w:rFonts w:ascii="Times New Roman" w:hAnsi="Times New Roman" w:cs="Times New Roman"/>
          <w:lang w:val="pt-BR"/>
        </w:rPr>
        <w:t>mico pelos diversos empregadores</w:t>
      </w:r>
      <w:r w:rsidR="00300C45" w:rsidRPr="008B66DC">
        <w:rPr>
          <w:rFonts w:ascii="Times New Roman" w:hAnsi="Times New Roman" w:cs="Times New Roman"/>
          <w:lang w:val="pt-BR"/>
        </w:rPr>
        <w:t xml:space="preserve"> [</w:t>
      </w:r>
      <w:r w:rsidR="00FE39A7" w:rsidRPr="008B66DC">
        <w:rPr>
          <w:rFonts w:ascii="Times New Roman" w:hAnsi="Times New Roman" w:cs="Times New Roman"/>
          <w:lang w:val="pt-BR"/>
        </w:rPr>
        <w:t>8</w:t>
      </w:r>
      <w:r w:rsidR="00300C45" w:rsidRPr="008B66DC">
        <w:rPr>
          <w:rFonts w:ascii="Times New Roman" w:hAnsi="Times New Roman" w:cs="Times New Roman"/>
          <w:lang w:val="pt-BR"/>
        </w:rPr>
        <w:t>]</w:t>
      </w:r>
      <w:r w:rsidR="009843AF" w:rsidRPr="008B66DC">
        <w:rPr>
          <w:rFonts w:ascii="Times New Roman" w:hAnsi="Times New Roman" w:cs="Times New Roman"/>
          <w:lang w:val="pt-BR"/>
        </w:rPr>
        <w:t>.</w:t>
      </w:r>
    </w:p>
    <w:p w:rsidR="0058110A" w:rsidRPr="008B66DC" w:rsidRDefault="00557BC3" w:rsidP="00236340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>N</w:t>
      </w:r>
      <w:r w:rsidR="0058110A" w:rsidRPr="008B66DC">
        <w:rPr>
          <w:rFonts w:ascii="Times New Roman" w:hAnsi="Times New Roman" w:cs="Times New Roman"/>
          <w:lang w:val="pt-BR"/>
        </w:rPr>
        <w:t>a França o apoio da indústria para participar como ator no ensino de segurança nos departamentos universitários é insuficiente. Por exemplo, é difícil obter a ajuda temporária de um especialista em segurança de processos da indústria para fazer uma palestra formal sobre um tópico específico de segurança. É quase impossível considerar o recrutamento de um professor de meio período com base na indústria para promover a sinergia de segurança entre ele e a equipe de professores acadêmicos do departamento</w:t>
      </w:r>
      <w:r w:rsidR="00300C45" w:rsidRPr="008B66DC">
        <w:rPr>
          <w:rFonts w:ascii="Times New Roman" w:hAnsi="Times New Roman" w:cs="Times New Roman"/>
          <w:lang w:val="pt-BR"/>
        </w:rPr>
        <w:t xml:space="preserve"> [</w:t>
      </w:r>
      <w:r w:rsidR="00FE39A7" w:rsidRPr="008B66DC">
        <w:rPr>
          <w:rFonts w:ascii="Times New Roman" w:hAnsi="Times New Roman" w:cs="Times New Roman"/>
          <w:lang w:val="pt-BR"/>
        </w:rPr>
        <w:t>9</w:t>
      </w:r>
      <w:r w:rsidR="00300C45" w:rsidRPr="008B66DC">
        <w:rPr>
          <w:rFonts w:ascii="Times New Roman" w:hAnsi="Times New Roman" w:cs="Times New Roman"/>
          <w:lang w:val="pt-BR"/>
        </w:rPr>
        <w:t xml:space="preserve">]. </w:t>
      </w:r>
    </w:p>
    <w:p w:rsidR="0058110A" w:rsidRPr="008B66DC" w:rsidRDefault="0058110A" w:rsidP="00236340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 xml:space="preserve">Na Alemanha podemos citar que o centro de formação de segurança de processos </w:t>
      </w:r>
      <w:r w:rsidR="00332922" w:rsidRPr="008B66DC">
        <w:rPr>
          <w:rFonts w:ascii="Times New Roman" w:hAnsi="Times New Roman" w:cs="Times New Roman"/>
          <w:lang w:val="pt-BR"/>
        </w:rPr>
        <w:t xml:space="preserve">que </w:t>
      </w:r>
      <w:r w:rsidRPr="008B66DC">
        <w:rPr>
          <w:rFonts w:ascii="Times New Roman" w:hAnsi="Times New Roman" w:cs="Times New Roman"/>
          <w:lang w:val="pt-BR"/>
        </w:rPr>
        <w:t>se encontra no KIT (</w:t>
      </w:r>
      <w:proofErr w:type="spellStart"/>
      <w:r w:rsidRPr="008B66DC">
        <w:rPr>
          <w:rFonts w:ascii="Times New Roman" w:hAnsi="Times New Roman" w:cs="Times New Roman"/>
          <w:i/>
          <w:lang w:val="pt-BR"/>
        </w:rPr>
        <w:t>Karlsruhe</w:t>
      </w:r>
      <w:proofErr w:type="spellEnd"/>
      <w:r w:rsidRPr="008B66DC">
        <w:rPr>
          <w:rFonts w:ascii="Times New Roman" w:hAnsi="Times New Roman" w:cs="Times New Roman"/>
          <w:i/>
          <w:lang w:val="pt-BR"/>
        </w:rPr>
        <w:t xml:space="preserve"> </w:t>
      </w:r>
      <w:proofErr w:type="spellStart"/>
      <w:r w:rsidRPr="008B66DC">
        <w:rPr>
          <w:rFonts w:ascii="Times New Roman" w:hAnsi="Times New Roman" w:cs="Times New Roman"/>
          <w:i/>
          <w:lang w:val="pt-BR"/>
        </w:rPr>
        <w:t>Instituteof</w:t>
      </w:r>
      <w:proofErr w:type="spellEnd"/>
      <w:r w:rsidRPr="008B66DC">
        <w:rPr>
          <w:rFonts w:ascii="Times New Roman" w:hAnsi="Times New Roman" w:cs="Times New Roman"/>
          <w:i/>
          <w:lang w:val="pt-BR"/>
        </w:rPr>
        <w:t xml:space="preserve"> </w:t>
      </w:r>
      <w:proofErr w:type="spellStart"/>
      <w:r w:rsidRPr="008B66DC">
        <w:rPr>
          <w:rFonts w:ascii="Times New Roman" w:hAnsi="Times New Roman" w:cs="Times New Roman"/>
          <w:i/>
          <w:lang w:val="pt-BR"/>
        </w:rPr>
        <w:t>Technology</w:t>
      </w:r>
      <w:proofErr w:type="spellEnd"/>
      <w:r w:rsidRPr="008B66DC">
        <w:rPr>
          <w:rFonts w:ascii="Times New Roman" w:hAnsi="Times New Roman" w:cs="Times New Roman"/>
          <w:lang w:val="pt-BR"/>
        </w:rPr>
        <w:t>) passa pelas me</w:t>
      </w:r>
      <w:r w:rsidR="00332922" w:rsidRPr="008B66DC">
        <w:rPr>
          <w:rFonts w:ascii="Times New Roman" w:hAnsi="Times New Roman" w:cs="Times New Roman"/>
          <w:lang w:val="pt-BR"/>
        </w:rPr>
        <w:t>smas dificuldades</w:t>
      </w:r>
      <w:r w:rsidR="009843AF" w:rsidRPr="008B66DC">
        <w:rPr>
          <w:rFonts w:ascii="Times New Roman" w:hAnsi="Times New Roman" w:cs="Times New Roman"/>
          <w:lang w:val="pt-BR"/>
        </w:rPr>
        <w:t xml:space="preserve"> [</w:t>
      </w:r>
      <w:r w:rsidR="00FE39A7" w:rsidRPr="008B66DC">
        <w:rPr>
          <w:rFonts w:ascii="Times New Roman" w:hAnsi="Times New Roman" w:cs="Times New Roman"/>
          <w:lang w:val="pt-BR"/>
        </w:rPr>
        <w:t>10</w:t>
      </w:r>
      <w:r w:rsidR="009843AF" w:rsidRPr="008B66DC">
        <w:rPr>
          <w:rFonts w:ascii="Times New Roman" w:hAnsi="Times New Roman" w:cs="Times New Roman"/>
          <w:lang w:val="pt-BR"/>
        </w:rPr>
        <w:t>]</w:t>
      </w:r>
      <w:r w:rsidR="00332922" w:rsidRPr="008B66DC">
        <w:rPr>
          <w:rFonts w:ascii="Times New Roman" w:hAnsi="Times New Roman" w:cs="Times New Roman"/>
          <w:lang w:val="pt-BR"/>
        </w:rPr>
        <w:t>.</w:t>
      </w:r>
    </w:p>
    <w:p w:rsidR="00E01E00" w:rsidRPr="008B66DC" w:rsidRDefault="00ED6B38" w:rsidP="00ED6B38">
      <w:pPr>
        <w:pStyle w:val="PargrafodaLista"/>
        <w:numPr>
          <w:ilvl w:val="0"/>
          <w:numId w:val="14"/>
        </w:numPr>
        <w:autoSpaceDE w:val="0"/>
        <w:autoSpaceDN w:val="0"/>
        <w:adjustRightInd w:val="0"/>
        <w:spacing w:before="240"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8B66DC">
        <w:rPr>
          <w:rFonts w:ascii="Times New Roman" w:hAnsi="Times New Roman" w:cs="Times New Roman"/>
          <w:b/>
          <w:sz w:val="24"/>
          <w:szCs w:val="24"/>
          <w:lang w:val="pt-BR"/>
        </w:rPr>
        <w:t xml:space="preserve">FORMAÇÃO DE COMPETÊNCIAS EM SEGURANÇA DE PROCESSOS E SEGURANÇA OPERACIONAL </w:t>
      </w:r>
      <w:r w:rsidR="00AD59DB" w:rsidRPr="008B66DC">
        <w:rPr>
          <w:rFonts w:ascii="Times New Roman" w:hAnsi="Times New Roman" w:cs="Times New Roman"/>
          <w:b/>
          <w:sz w:val="24"/>
          <w:szCs w:val="24"/>
          <w:lang w:val="pt-BR"/>
        </w:rPr>
        <w:t>NO BRASIL</w:t>
      </w:r>
    </w:p>
    <w:p w:rsidR="003B7942" w:rsidRPr="008B66DC" w:rsidRDefault="00CB6453">
      <w:pPr>
        <w:pStyle w:val="PargrafodaLista"/>
        <w:numPr>
          <w:ilvl w:val="1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szCs w:val="24"/>
          <w:lang w:val="pt-BR"/>
        </w:rPr>
      </w:pPr>
      <w:r w:rsidRPr="008B66DC">
        <w:rPr>
          <w:rFonts w:ascii="Times New Roman" w:hAnsi="Times New Roman" w:cs="Times New Roman"/>
          <w:b/>
          <w:bCs/>
          <w:szCs w:val="24"/>
          <w:lang w:val="pt-BR"/>
        </w:rPr>
        <w:t>Pós-graduação</w:t>
      </w:r>
    </w:p>
    <w:p w:rsidR="003F40FB" w:rsidRPr="008B66DC" w:rsidRDefault="003F40FB" w:rsidP="00236340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>A necessidade de formar profissionais com competências em Segurança de Processos tomou força a partir das reuniões realizadas em 2008 na Comissão de Segurança de Processos da Associação Brasileira da Indústria Química-ABIQUIM [1</w:t>
      </w:r>
      <w:r w:rsidR="00FE39A7" w:rsidRPr="008B66DC">
        <w:rPr>
          <w:rFonts w:ascii="Times New Roman" w:hAnsi="Times New Roman" w:cs="Times New Roman"/>
          <w:lang w:val="pt-BR"/>
        </w:rPr>
        <w:t>1</w:t>
      </w:r>
      <w:r w:rsidRPr="008B66DC">
        <w:rPr>
          <w:rFonts w:ascii="Times New Roman" w:hAnsi="Times New Roman" w:cs="Times New Roman"/>
          <w:lang w:val="pt-BR"/>
        </w:rPr>
        <w:t xml:space="preserve">]. Inicialmente, a ideia era nivelar conhecimentos de profissionais da indústria química em técnicas de análise de riscos, através da promoção do intercâmbio de informações com especialistas da área a nível de pós-graduação. </w:t>
      </w:r>
    </w:p>
    <w:p w:rsidR="007C22C6" w:rsidRPr="008B66DC" w:rsidRDefault="00A901E4" w:rsidP="00236340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 xml:space="preserve">Dessas reuniões surgiu a </w:t>
      </w:r>
      <w:r w:rsidR="00300C45" w:rsidRPr="008B66DC">
        <w:rPr>
          <w:rFonts w:ascii="Times New Roman" w:hAnsi="Times New Roman" w:cs="Times New Roman"/>
          <w:lang w:val="pt-BR"/>
        </w:rPr>
        <w:t>m</w:t>
      </w:r>
      <w:r w:rsidRPr="008B66DC">
        <w:rPr>
          <w:rFonts w:ascii="Times New Roman" w:hAnsi="Times New Roman" w:cs="Times New Roman"/>
          <w:lang w:val="pt-BR"/>
        </w:rPr>
        <w:t xml:space="preserve">inuta de um Curso, com disciplinas e ementas, que seria enviada a possíveis entidades interessadas em desenvolver o curso, como a Universidade Federal do Rio de Janeiro – UFRJ, a Universidade Católica de Santos, a </w:t>
      </w:r>
      <w:r w:rsidR="006C0FBE" w:rsidRPr="008B66DC">
        <w:rPr>
          <w:rFonts w:ascii="Times New Roman" w:hAnsi="Times New Roman" w:cs="Times New Roman"/>
          <w:lang w:val="pt-BR"/>
        </w:rPr>
        <w:t xml:space="preserve">Faculdade de Tecnologia de Indaiatuba – </w:t>
      </w:r>
      <w:r w:rsidRPr="008B66DC">
        <w:rPr>
          <w:rFonts w:ascii="Times New Roman" w:hAnsi="Times New Roman" w:cs="Times New Roman"/>
          <w:lang w:val="pt-BR"/>
        </w:rPr>
        <w:t>FATEC e a Universidade do Estado do Rio de Janeiro – UERJ.</w:t>
      </w:r>
    </w:p>
    <w:p w:rsidR="00AD59DB" w:rsidRPr="008B66DC" w:rsidRDefault="00256AA6" w:rsidP="00236340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>A</w:t>
      </w:r>
      <w:r w:rsidR="00300C45" w:rsidRPr="008B66DC">
        <w:rPr>
          <w:rFonts w:ascii="Times New Roman" w:hAnsi="Times New Roman" w:cs="Times New Roman"/>
          <w:lang w:val="pt-BR"/>
        </w:rPr>
        <w:t xml:space="preserve">tualmente no Brasil a </w:t>
      </w:r>
      <w:r w:rsidRPr="008B66DC">
        <w:rPr>
          <w:rFonts w:ascii="Times New Roman" w:hAnsi="Times New Roman" w:cs="Times New Roman"/>
          <w:lang w:val="pt-BR"/>
        </w:rPr>
        <w:t xml:space="preserve">nível </w:t>
      </w:r>
      <w:r w:rsidR="00FF7674" w:rsidRPr="008B66DC">
        <w:rPr>
          <w:rFonts w:ascii="Times New Roman" w:hAnsi="Times New Roman" w:cs="Times New Roman"/>
          <w:lang w:val="pt-BR"/>
        </w:rPr>
        <w:t>p</w:t>
      </w:r>
      <w:r w:rsidRPr="008B66DC">
        <w:rPr>
          <w:rFonts w:ascii="Times New Roman" w:hAnsi="Times New Roman" w:cs="Times New Roman"/>
          <w:lang w:val="pt-BR"/>
        </w:rPr>
        <w:t>ós</w:t>
      </w:r>
      <w:r w:rsidR="006C0FBE" w:rsidRPr="008B66DC">
        <w:rPr>
          <w:rFonts w:ascii="Times New Roman" w:hAnsi="Times New Roman" w:cs="Times New Roman"/>
          <w:lang w:val="pt-BR"/>
        </w:rPr>
        <w:t>-</w:t>
      </w:r>
      <w:r w:rsidR="00FF7674" w:rsidRPr="008B66DC">
        <w:rPr>
          <w:rFonts w:ascii="Times New Roman" w:hAnsi="Times New Roman" w:cs="Times New Roman"/>
          <w:lang w:val="pt-BR"/>
        </w:rPr>
        <w:t>g</w:t>
      </w:r>
      <w:r w:rsidRPr="008B66DC">
        <w:rPr>
          <w:rFonts w:ascii="Times New Roman" w:hAnsi="Times New Roman" w:cs="Times New Roman"/>
          <w:lang w:val="pt-BR"/>
        </w:rPr>
        <w:t>raduação, temos alguns cursos já implementados</w:t>
      </w:r>
      <w:r w:rsidR="003522A8" w:rsidRPr="008B66DC">
        <w:rPr>
          <w:rFonts w:ascii="Times New Roman" w:hAnsi="Times New Roman" w:cs="Times New Roman"/>
          <w:lang w:val="pt-BR"/>
        </w:rPr>
        <w:t xml:space="preserve">, </w:t>
      </w:r>
      <w:r w:rsidR="00F571D7" w:rsidRPr="008B66DC">
        <w:rPr>
          <w:rFonts w:ascii="Times New Roman" w:hAnsi="Times New Roman" w:cs="Times New Roman"/>
          <w:lang w:val="pt-BR"/>
        </w:rPr>
        <w:t xml:space="preserve">sendo alguns exemplos apresentados na </w:t>
      </w:r>
      <w:r w:rsidR="003522A8" w:rsidRPr="008B66DC">
        <w:rPr>
          <w:rFonts w:ascii="Times New Roman" w:hAnsi="Times New Roman" w:cs="Times New Roman"/>
          <w:lang w:val="pt-BR"/>
        </w:rPr>
        <w:t>Tabela 1</w:t>
      </w:r>
      <w:r w:rsidR="008570D2" w:rsidRPr="008B66DC">
        <w:rPr>
          <w:rFonts w:ascii="Times New Roman" w:hAnsi="Times New Roman" w:cs="Times New Roman"/>
          <w:lang w:val="pt-BR"/>
        </w:rPr>
        <w:t>.</w:t>
      </w:r>
    </w:p>
    <w:p w:rsidR="008570D2" w:rsidRPr="008B66DC" w:rsidRDefault="008570D2" w:rsidP="00412E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>Tabela 1 – Cursos a nível de pós-graduação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/>
      </w:tblPr>
      <w:tblGrid>
        <w:gridCol w:w="3927"/>
        <w:gridCol w:w="2865"/>
        <w:gridCol w:w="1447"/>
        <w:gridCol w:w="1540"/>
      </w:tblGrid>
      <w:tr w:rsidR="008B66DC" w:rsidRPr="008B66DC" w:rsidTr="00921C2B">
        <w:trPr>
          <w:trHeight w:val="300"/>
          <w:tblHeader/>
          <w:jc w:val="center"/>
        </w:trPr>
        <w:tc>
          <w:tcPr>
            <w:tcW w:w="2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2A8" w:rsidRPr="008B66DC" w:rsidRDefault="003522A8" w:rsidP="0035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b/>
                <w:bCs/>
                <w:lang w:val="pt-BR" w:eastAsia="pt-BR"/>
              </w:rPr>
              <w:lastRenderedPageBreak/>
              <w:t>Curso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2A8" w:rsidRPr="008B66DC" w:rsidRDefault="003522A8" w:rsidP="0035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b/>
                <w:bCs/>
                <w:lang w:val="pt-BR" w:eastAsia="pt-BR"/>
              </w:rPr>
              <w:t>Instituição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2A8" w:rsidRPr="008B66DC" w:rsidRDefault="003522A8" w:rsidP="0035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b/>
                <w:bCs/>
                <w:lang w:val="pt-BR" w:eastAsia="pt-BR"/>
              </w:rPr>
              <w:t>Modalidade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2A8" w:rsidRPr="008B66DC" w:rsidRDefault="003522A8" w:rsidP="0035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b/>
                <w:bCs/>
                <w:lang w:val="pt-BR" w:eastAsia="pt-BR"/>
              </w:rPr>
              <w:t>Carga Horária</w:t>
            </w:r>
          </w:p>
          <w:p w:rsidR="003522A8" w:rsidRPr="008B66DC" w:rsidRDefault="003522A8" w:rsidP="0035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b/>
                <w:bCs/>
                <w:lang w:val="pt-BR" w:eastAsia="pt-BR"/>
              </w:rPr>
              <w:t>(horas)</w:t>
            </w:r>
          </w:p>
        </w:tc>
      </w:tr>
      <w:tr w:rsidR="008B66DC" w:rsidRPr="008B66DC" w:rsidTr="000D6B4A">
        <w:trPr>
          <w:trHeight w:val="300"/>
          <w:jc w:val="center"/>
        </w:trPr>
        <w:tc>
          <w:tcPr>
            <w:tcW w:w="2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0D2" w:rsidRPr="008B66DC" w:rsidRDefault="008570D2" w:rsidP="00155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Gerenciamento</w:t>
            </w:r>
          </w:p>
          <w:p w:rsidR="008570D2" w:rsidRPr="008B66DC" w:rsidRDefault="008570D2" w:rsidP="00155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de Segurança de Processo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0D2" w:rsidRPr="008B66DC" w:rsidRDefault="008570D2" w:rsidP="00155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Faculdade Jardins / RSE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0D2" w:rsidRPr="008B66DC" w:rsidRDefault="000D6B4A" w:rsidP="00155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Especialização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70D2" w:rsidRPr="008B66DC" w:rsidRDefault="008570D2" w:rsidP="00155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524</w:t>
            </w:r>
          </w:p>
        </w:tc>
      </w:tr>
      <w:tr w:rsidR="008B66DC" w:rsidRPr="008B66DC" w:rsidTr="000D6B4A">
        <w:trPr>
          <w:trHeight w:val="300"/>
          <w:jc w:val="center"/>
        </w:trPr>
        <w:tc>
          <w:tcPr>
            <w:tcW w:w="2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0D2" w:rsidRPr="008B66DC" w:rsidRDefault="000D6B4A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Gerenciamento de Riscos e Segurança Industrial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0D2" w:rsidRPr="008B66DC" w:rsidRDefault="000D6B4A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hAnsi="Times New Roman" w:cs="Times New Roman"/>
                <w:szCs w:val="24"/>
                <w:lang w:val="pt-BR"/>
              </w:rPr>
              <w:t>Universidade Cândido Mendes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0D2" w:rsidRPr="008B66DC" w:rsidRDefault="000D6B4A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MBA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70D2" w:rsidRPr="008B66DC" w:rsidRDefault="000D6B4A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460</w:t>
            </w:r>
          </w:p>
        </w:tc>
      </w:tr>
      <w:tr w:rsidR="008B66DC" w:rsidRPr="008B66DC" w:rsidTr="000D6B4A">
        <w:trPr>
          <w:trHeight w:val="300"/>
          <w:jc w:val="center"/>
        </w:trPr>
        <w:tc>
          <w:tcPr>
            <w:tcW w:w="2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0D2" w:rsidRPr="008B66DC" w:rsidRDefault="008570D2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Segurança de Processos Industriais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0D2" w:rsidRPr="008B66DC" w:rsidRDefault="008570D2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UNIVERSIA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0D2" w:rsidRPr="008B66DC" w:rsidRDefault="008570D2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MBA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70D2" w:rsidRPr="008B66DC" w:rsidRDefault="008570D2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424</w:t>
            </w:r>
          </w:p>
        </w:tc>
      </w:tr>
      <w:tr w:rsidR="008B66DC" w:rsidRPr="008B66DC" w:rsidTr="000D6B4A">
        <w:trPr>
          <w:trHeight w:val="300"/>
          <w:jc w:val="center"/>
        </w:trPr>
        <w:tc>
          <w:tcPr>
            <w:tcW w:w="2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0D2" w:rsidRPr="008B66DC" w:rsidRDefault="008570D2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Gerenciamento de Segurança de Processo Industrial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0D2" w:rsidRPr="008B66DC" w:rsidRDefault="008570D2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UNIFACS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0D2" w:rsidRPr="008B66DC" w:rsidRDefault="008570D2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Especialização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70D2" w:rsidRPr="008B66DC" w:rsidRDefault="008570D2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420</w:t>
            </w:r>
          </w:p>
        </w:tc>
      </w:tr>
      <w:tr w:rsidR="008B66DC" w:rsidRPr="008B66DC" w:rsidTr="000D6B4A">
        <w:trPr>
          <w:trHeight w:val="300"/>
          <w:jc w:val="center"/>
        </w:trPr>
        <w:tc>
          <w:tcPr>
            <w:tcW w:w="2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0D2" w:rsidRPr="008B66DC" w:rsidRDefault="008570D2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Gestão de Riscos com Ênfase em Governança Corporativa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0D2" w:rsidRPr="008B66DC" w:rsidRDefault="008570D2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UFF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0D2" w:rsidRPr="008B66DC" w:rsidRDefault="008570D2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MBA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70D2" w:rsidRPr="008B66DC" w:rsidRDefault="008570D2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368</w:t>
            </w:r>
          </w:p>
        </w:tc>
      </w:tr>
      <w:tr w:rsidR="008B66DC" w:rsidRPr="008B66DC" w:rsidTr="000D6B4A">
        <w:trPr>
          <w:trHeight w:val="300"/>
          <w:jc w:val="center"/>
        </w:trPr>
        <w:tc>
          <w:tcPr>
            <w:tcW w:w="2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0D2" w:rsidRPr="008B66DC" w:rsidRDefault="008570D2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Segurança de Processos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0D2" w:rsidRPr="008B66DC" w:rsidRDefault="008570D2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SENAI CETIQT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0D2" w:rsidRPr="008B66DC" w:rsidRDefault="000D6B4A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Especialização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70D2" w:rsidRPr="008B66DC" w:rsidRDefault="008570D2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360</w:t>
            </w:r>
          </w:p>
        </w:tc>
      </w:tr>
      <w:tr w:rsidR="008B66DC" w:rsidRPr="008B66DC" w:rsidTr="000D6B4A">
        <w:trPr>
          <w:trHeight w:val="300"/>
          <w:jc w:val="center"/>
        </w:trPr>
        <w:tc>
          <w:tcPr>
            <w:tcW w:w="2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2A8" w:rsidRPr="008B66DC" w:rsidRDefault="003522A8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Segurança de Processos Industriais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2A8" w:rsidRPr="008B66DC" w:rsidRDefault="003522A8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PUC-RJ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2A8" w:rsidRPr="008B66DC" w:rsidRDefault="003522A8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Extensão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2A8" w:rsidRPr="008B66DC" w:rsidRDefault="003522A8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160</w:t>
            </w:r>
          </w:p>
        </w:tc>
      </w:tr>
      <w:tr w:rsidR="008B66DC" w:rsidRPr="008B66DC" w:rsidTr="000D6B4A">
        <w:trPr>
          <w:trHeight w:val="300"/>
          <w:jc w:val="center"/>
        </w:trPr>
        <w:tc>
          <w:tcPr>
            <w:tcW w:w="2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2A8" w:rsidRPr="008B66DC" w:rsidRDefault="003522A8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Avaliação e Gerenciamento de Riscos e de Crises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2A8" w:rsidRPr="008B66DC" w:rsidRDefault="003522A8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PUC-RJ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2A8" w:rsidRPr="008B66DC" w:rsidRDefault="003522A8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Extensão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2A8" w:rsidRPr="008B66DC" w:rsidRDefault="003522A8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90</w:t>
            </w:r>
          </w:p>
        </w:tc>
      </w:tr>
      <w:tr w:rsidR="008B66DC" w:rsidRPr="008B66DC" w:rsidTr="000D6B4A">
        <w:trPr>
          <w:trHeight w:val="300"/>
          <w:jc w:val="center"/>
        </w:trPr>
        <w:tc>
          <w:tcPr>
            <w:tcW w:w="2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2A8" w:rsidRPr="008B66DC" w:rsidRDefault="003522A8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 xml:space="preserve">HAZOP – </w:t>
            </w:r>
            <w:proofErr w:type="spellStart"/>
            <w:r w:rsidRPr="008B66DC">
              <w:rPr>
                <w:rFonts w:ascii="Times New Roman" w:eastAsia="Times New Roman" w:hAnsi="Times New Roman" w:cs="Times New Roman"/>
                <w:i/>
                <w:lang w:val="pt-BR" w:eastAsia="pt-BR"/>
              </w:rPr>
              <w:t>HazardsandOperabilityStudies</w:t>
            </w:r>
            <w:proofErr w:type="spellEnd"/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&amp; Avaliação e Gestão de Riscos de Processos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2A8" w:rsidRPr="008B66DC" w:rsidRDefault="003522A8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DNV-GL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2A8" w:rsidRPr="008B66DC" w:rsidRDefault="003522A8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Extensão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2A8" w:rsidRPr="008B66DC" w:rsidRDefault="003522A8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16</w:t>
            </w:r>
          </w:p>
        </w:tc>
      </w:tr>
      <w:tr w:rsidR="000D6B4A" w:rsidRPr="008B66DC" w:rsidTr="000D6B4A">
        <w:trPr>
          <w:trHeight w:val="300"/>
          <w:jc w:val="center"/>
        </w:trPr>
        <w:tc>
          <w:tcPr>
            <w:tcW w:w="2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2A8" w:rsidRPr="008B66DC" w:rsidRDefault="003522A8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Segurança de Processo em Projetos de Instrumentação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2A8" w:rsidRPr="008B66DC" w:rsidRDefault="003522A8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UNIBP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2A8" w:rsidRPr="008B66DC" w:rsidRDefault="003522A8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Extensão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2A8" w:rsidRPr="008B66DC" w:rsidRDefault="003522A8" w:rsidP="0085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8</w:t>
            </w:r>
          </w:p>
        </w:tc>
      </w:tr>
    </w:tbl>
    <w:p w:rsidR="003522A8" w:rsidRPr="008B66DC" w:rsidRDefault="003522A8" w:rsidP="000244FF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lang w:val="pt-BR"/>
        </w:rPr>
      </w:pPr>
    </w:p>
    <w:p w:rsidR="00A43303" w:rsidRPr="008B66DC" w:rsidRDefault="00A43303" w:rsidP="00236340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>Em geral nestes cursos procura-se atender a demanda iniciada na Comissão de Segurança de Segurança de processos do programa ´Atuação Responsável´ da ABIQUIM, conforme apresentado anteriormente. O objetivo principal desses cursos é apresentar as principais definições e conceitos, internacionalmente aplicados em Segurança de Processos sendo o aluno ao final docurso capaz de:</w:t>
      </w:r>
    </w:p>
    <w:p w:rsidR="00A43303" w:rsidRPr="008B66DC" w:rsidRDefault="00A43303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>Avaliar os riscos em plantas industriais ao longo do tempo;</w:t>
      </w:r>
    </w:p>
    <w:p w:rsidR="00A43303" w:rsidRPr="008B66DC" w:rsidRDefault="00A43303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>Assegurar a sustentabilidade ambiental e financeira da corporação;</w:t>
      </w:r>
    </w:p>
    <w:p w:rsidR="00A43303" w:rsidRPr="008B66DC" w:rsidRDefault="00A43303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>Analisar integridade de equipamentos;</w:t>
      </w:r>
    </w:p>
    <w:p w:rsidR="00A43303" w:rsidRPr="008B66DC" w:rsidRDefault="00A43303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>Analisar confiabilidade dos controles de instrumentação de segurança;</w:t>
      </w:r>
    </w:p>
    <w:p w:rsidR="00A43303" w:rsidRPr="008B66DC" w:rsidRDefault="00A43303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 xml:space="preserve">Analisar os riscos associados a fatores humanos; </w:t>
      </w:r>
    </w:p>
    <w:p w:rsidR="00A43303" w:rsidRPr="008B66DC" w:rsidRDefault="00A43303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>Aplicar ferramentas de análise de riscos e medidas de proteção;</w:t>
      </w:r>
    </w:p>
    <w:p w:rsidR="00A43303" w:rsidRPr="008B66DC" w:rsidRDefault="00A43303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 xml:space="preserve">Governança dos riscos referente às instalações, empregados e partes envolvidas; </w:t>
      </w:r>
    </w:p>
    <w:p w:rsidR="00A43303" w:rsidRPr="008B66DC" w:rsidRDefault="00A43303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>Assegurar a continuidade operacional e sustentabilidade das unidades de produção.</w:t>
      </w:r>
    </w:p>
    <w:p w:rsidR="00A43303" w:rsidRPr="008B66DC" w:rsidRDefault="003B7942" w:rsidP="00236340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 xml:space="preserve">Como exemplo mais detalhado de ementa podemos citar o curso de pós-graduação do SENAI-CETIQT. </w:t>
      </w:r>
      <w:r w:rsidR="00A43303" w:rsidRPr="008B66DC">
        <w:rPr>
          <w:rFonts w:ascii="Times New Roman" w:hAnsi="Times New Roman" w:cs="Times New Roman"/>
          <w:lang w:val="pt-BR"/>
        </w:rPr>
        <w:t>O curso conta com encontros presenciais com especialistas no setor, além de visitas técnicas, estudos de casos de cases da indústria e projetos aplicados abordando os seguintes módulos:</w:t>
      </w:r>
    </w:p>
    <w:p w:rsidR="00A43303" w:rsidRPr="008B66DC" w:rsidRDefault="000244FF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>M</w:t>
      </w:r>
      <w:r w:rsidR="00A43303" w:rsidRPr="008B66DC">
        <w:rPr>
          <w:rFonts w:ascii="Times New Roman" w:hAnsi="Times New Roman" w:cs="Times New Roman"/>
          <w:szCs w:val="24"/>
          <w:lang w:val="pt-BR"/>
        </w:rPr>
        <w:t>ódulo de Fundamentos de SEPRO: composto pelas unidades curriculares de Introdução a Segurança de Processos e Parâmetros de segurança de produtos químicos e riscos térmicos;</w:t>
      </w:r>
    </w:p>
    <w:p w:rsidR="00A43303" w:rsidRPr="008B66DC" w:rsidRDefault="00A43303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>Módulo de Equipamentos, Instrumentos e Fatores Humanos: compostos pelas unidades curriculares de Fatores humanos e confiabilidade humana, Integridade de equipamentos, Introdução à Confiabilidade, Controles e instrumentação de segurança e Sistema instrumentado de segurança (SIS / SIL – LOPA);</w:t>
      </w:r>
    </w:p>
    <w:p w:rsidR="00A43303" w:rsidRPr="008B66DC" w:rsidRDefault="00A43303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 xml:space="preserve">Módulo de Ferramentas de Análise e Proteção: compostos pelas unidades curriculares de Análise Qualitativa de Riscos, Análise Quantitativa de Riscos, Proteção Contra Explosão (Classificação de Áreas Ex, Controles de fontes de ignição elétricas e não elétricas e medidas mitigadoras de proteção de danos). </w:t>
      </w:r>
    </w:p>
    <w:p w:rsidR="00A43303" w:rsidRPr="008B66DC" w:rsidRDefault="00A43303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lastRenderedPageBreak/>
        <w:t>Módulo de Gestão de Segurança e dos Riscos: composto pelas unidades curriculares de Segurança de Parada e Pré-partida, Processos de Governança, Indicadores de desempenho, Formação de Competências, Investigação de Acidentes e Respostas a Emergências.</w:t>
      </w:r>
    </w:p>
    <w:p w:rsidR="00A43303" w:rsidRPr="008B66DC" w:rsidRDefault="00A43303" w:rsidP="00236340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 xml:space="preserve">Ao final do curso os alunos apresentam um Projeto de Conclusão de Curso, no formato de um </w:t>
      </w:r>
      <w:proofErr w:type="spellStart"/>
      <w:r w:rsidRPr="008B66DC">
        <w:rPr>
          <w:rFonts w:ascii="Times New Roman" w:hAnsi="Times New Roman" w:cs="Times New Roman"/>
          <w:lang w:val="pt-BR"/>
        </w:rPr>
        <w:t>pitch</w:t>
      </w:r>
      <w:proofErr w:type="spellEnd"/>
      <w:r w:rsidRPr="008B66DC">
        <w:rPr>
          <w:rFonts w:ascii="Times New Roman" w:hAnsi="Times New Roman" w:cs="Times New Roman"/>
          <w:lang w:val="pt-BR"/>
        </w:rPr>
        <w:t xml:space="preserve">, com soluções às demandas de segurança de processo da indústria. </w:t>
      </w:r>
    </w:p>
    <w:p w:rsidR="00236340" w:rsidRPr="008B66DC" w:rsidRDefault="00236340" w:rsidP="00236340">
      <w:pPr>
        <w:pStyle w:val="PargrafodaLista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szCs w:val="24"/>
          <w:lang w:val="pt-BR"/>
        </w:rPr>
      </w:pPr>
    </w:p>
    <w:p w:rsidR="00236340" w:rsidRPr="008B66DC" w:rsidRDefault="00236340" w:rsidP="00236340">
      <w:pPr>
        <w:pStyle w:val="PargrafodaLista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szCs w:val="24"/>
          <w:lang w:val="pt-BR"/>
        </w:rPr>
      </w:pPr>
    </w:p>
    <w:p w:rsidR="00236340" w:rsidRPr="008B66DC" w:rsidRDefault="00236340" w:rsidP="00236340">
      <w:pPr>
        <w:pStyle w:val="PargrafodaLista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szCs w:val="24"/>
          <w:lang w:val="pt-BR"/>
        </w:rPr>
      </w:pPr>
    </w:p>
    <w:p w:rsidR="003B7942" w:rsidRPr="008B66DC" w:rsidRDefault="00CB6453" w:rsidP="00F571D7">
      <w:pPr>
        <w:pStyle w:val="PargrafodaLista"/>
        <w:numPr>
          <w:ilvl w:val="1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szCs w:val="24"/>
          <w:lang w:val="pt-BR"/>
        </w:rPr>
      </w:pPr>
      <w:r w:rsidRPr="008B66DC">
        <w:rPr>
          <w:rFonts w:ascii="Times New Roman" w:hAnsi="Times New Roman" w:cs="Times New Roman"/>
          <w:b/>
          <w:bCs/>
          <w:szCs w:val="24"/>
          <w:lang w:val="pt-BR"/>
        </w:rPr>
        <w:t>Graduação</w:t>
      </w:r>
    </w:p>
    <w:p w:rsidR="007C22C6" w:rsidRPr="008B66DC" w:rsidRDefault="000C7072" w:rsidP="00236340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>No âmbito da graduação hoje podemos encontrar, em algumas Instituições de Nível Superior</w:t>
      </w:r>
      <w:r w:rsidR="00DE30F3" w:rsidRPr="008B66DC">
        <w:rPr>
          <w:rFonts w:ascii="Times New Roman" w:hAnsi="Times New Roman" w:cs="Times New Roman"/>
          <w:lang w:val="pt-BR"/>
        </w:rPr>
        <w:t>,</w:t>
      </w:r>
      <w:r w:rsidRPr="008B66DC">
        <w:rPr>
          <w:rFonts w:ascii="Times New Roman" w:hAnsi="Times New Roman" w:cs="Times New Roman"/>
          <w:lang w:val="pt-BR"/>
        </w:rPr>
        <w:t xml:space="preserve"> disciplinas que abordam o ass</w:t>
      </w:r>
      <w:r w:rsidR="000D6B4A" w:rsidRPr="008B66DC">
        <w:rPr>
          <w:rFonts w:ascii="Times New Roman" w:hAnsi="Times New Roman" w:cs="Times New Roman"/>
          <w:lang w:val="pt-BR"/>
        </w:rPr>
        <w:t>unto de Segurança de Processos</w:t>
      </w:r>
      <w:r w:rsidR="00F571D7" w:rsidRPr="008B66DC">
        <w:rPr>
          <w:rFonts w:ascii="Times New Roman" w:hAnsi="Times New Roman" w:cs="Times New Roman"/>
          <w:lang w:val="pt-BR"/>
        </w:rPr>
        <w:t>. Alguns exemplos são apresentados na Ta</w:t>
      </w:r>
      <w:r w:rsidR="000D6B4A" w:rsidRPr="008B66DC">
        <w:rPr>
          <w:rFonts w:ascii="Times New Roman" w:hAnsi="Times New Roman" w:cs="Times New Roman"/>
          <w:lang w:val="pt-BR"/>
        </w:rPr>
        <w:t>bela 2.</w:t>
      </w:r>
    </w:p>
    <w:p w:rsidR="00412E8F" w:rsidRPr="008B66DC" w:rsidRDefault="00412E8F" w:rsidP="00412E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>Tabela 2 – Cursos a nível de graduação</w:t>
      </w:r>
    </w:p>
    <w:tbl>
      <w:tblPr>
        <w:tblW w:w="4771" w:type="pct"/>
        <w:jc w:val="center"/>
        <w:tblCellMar>
          <w:left w:w="70" w:type="dxa"/>
          <w:right w:w="70" w:type="dxa"/>
        </w:tblCellMar>
        <w:tblLook w:val="04A0"/>
      </w:tblPr>
      <w:tblGrid>
        <w:gridCol w:w="4027"/>
        <w:gridCol w:w="2303"/>
        <w:gridCol w:w="1439"/>
        <w:gridCol w:w="1562"/>
      </w:tblGrid>
      <w:tr w:rsidR="008B66DC" w:rsidRPr="008B66DC" w:rsidTr="00412E8F">
        <w:trPr>
          <w:trHeight w:val="300"/>
          <w:jc w:val="center"/>
        </w:trPr>
        <w:tc>
          <w:tcPr>
            <w:tcW w:w="2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1DE" w:rsidRPr="008B66DC" w:rsidRDefault="006531DE" w:rsidP="00653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b/>
                <w:bCs/>
                <w:lang w:val="pt-BR" w:eastAsia="pt-BR"/>
              </w:rPr>
              <w:t>Disciplina</w:t>
            </w:r>
          </w:p>
        </w:tc>
        <w:tc>
          <w:tcPr>
            <w:tcW w:w="1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1DE" w:rsidRPr="008B66DC" w:rsidRDefault="006531DE" w:rsidP="00155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b/>
                <w:bCs/>
                <w:lang w:val="pt-BR" w:eastAsia="pt-BR"/>
              </w:rPr>
              <w:t>Curso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1DE" w:rsidRPr="008B66DC" w:rsidRDefault="006531DE" w:rsidP="00155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b/>
                <w:bCs/>
                <w:lang w:val="pt-BR" w:eastAsia="pt-BR"/>
              </w:rPr>
              <w:t>Instituição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31DE" w:rsidRPr="008B66DC" w:rsidRDefault="006531DE" w:rsidP="00155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b/>
                <w:bCs/>
                <w:lang w:val="pt-BR" w:eastAsia="pt-BR"/>
              </w:rPr>
              <w:t>Carga Horária</w:t>
            </w:r>
          </w:p>
          <w:p w:rsidR="006531DE" w:rsidRPr="008B66DC" w:rsidRDefault="006531DE" w:rsidP="00155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b/>
                <w:bCs/>
                <w:lang w:val="pt-BR" w:eastAsia="pt-BR"/>
              </w:rPr>
              <w:t>(horas)</w:t>
            </w:r>
          </w:p>
        </w:tc>
      </w:tr>
      <w:tr w:rsidR="008B66DC" w:rsidRPr="008B66DC" w:rsidTr="00412E8F">
        <w:trPr>
          <w:trHeight w:val="300"/>
          <w:jc w:val="center"/>
        </w:trPr>
        <w:tc>
          <w:tcPr>
            <w:tcW w:w="2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1DE" w:rsidRPr="008B66DC" w:rsidRDefault="006531DE" w:rsidP="00155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hAnsi="Times New Roman" w:cs="Times New Roman"/>
                <w:szCs w:val="24"/>
                <w:lang w:val="pt-BR"/>
              </w:rPr>
              <w:t>Análise de Riscos Industriais</w:t>
            </w:r>
          </w:p>
        </w:tc>
        <w:tc>
          <w:tcPr>
            <w:tcW w:w="1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1DE" w:rsidRPr="008B66DC" w:rsidRDefault="006531DE" w:rsidP="00155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Engenharia Química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1DE" w:rsidRPr="008B66DC" w:rsidRDefault="006531DE" w:rsidP="00155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UFRGS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531DE" w:rsidRPr="008B66DC" w:rsidRDefault="006531DE" w:rsidP="00155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60</w:t>
            </w:r>
          </w:p>
        </w:tc>
      </w:tr>
      <w:tr w:rsidR="008B66DC" w:rsidRPr="008B66DC" w:rsidTr="00412E8F">
        <w:trPr>
          <w:trHeight w:val="300"/>
          <w:jc w:val="center"/>
        </w:trPr>
        <w:tc>
          <w:tcPr>
            <w:tcW w:w="2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EFF" w:rsidRPr="008B66DC" w:rsidRDefault="00971EFF" w:rsidP="006531D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pt-BR"/>
              </w:rPr>
            </w:pPr>
            <w:r w:rsidRPr="008B66DC">
              <w:rPr>
                <w:rFonts w:ascii="Times New Roman" w:hAnsi="Times New Roman" w:cs="Times New Roman"/>
                <w:szCs w:val="24"/>
                <w:lang w:val="pt-BR"/>
              </w:rPr>
              <w:t>Segurança em Indústria</w:t>
            </w:r>
          </w:p>
        </w:tc>
        <w:tc>
          <w:tcPr>
            <w:tcW w:w="1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EFF" w:rsidRPr="008B66DC" w:rsidRDefault="00971EFF" w:rsidP="00155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Engenharia Química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EFF" w:rsidRPr="008B66DC" w:rsidRDefault="00971EFF" w:rsidP="00155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UFSC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1EFF" w:rsidRPr="008B66DC" w:rsidRDefault="00971EFF" w:rsidP="00155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54</w:t>
            </w:r>
          </w:p>
        </w:tc>
      </w:tr>
      <w:tr w:rsidR="008B66DC" w:rsidRPr="008B66DC" w:rsidTr="00412E8F">
        <w:trPr>
          <w:trHeight w:val="300"/>
          <w:jc w:val="center"/>
        </w:trPr>
        <w:tc>
          <w:tcPr>
            <w:tcW w:w="2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1DE" w:rsidRPr="008B66DC" w:rsidRDefault="006531DE" w:rsidP="00653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hAnsi="Times New Roman" w:cs="Times New Roman"/>
                <w:szCs w:val="24"/>
                <w:lang w:val="pt-BR"/>
              </w:rPr>
              <w:t>Segurança de Processo e Prevenção de Perdas</w:t>
            </w:r>
          </w:p>
        </w:tc>
        <w:tc>
          <w:tcPr>
            <w:tcW w:w="1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1DE" w:rsidRPr="008B66DC" w:rsidRDefault="006531DE" w:rsidP="00155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Engenharia Química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1DE" w:rsidRPr="008B66DC" w:rsidRDefault="006531DE" w:rsidP="00155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UFRJ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531DE" w:rsidRPr="008B66DC" w:rsidRDefault="006531DE" w:rsidP="00155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45</w:t>
            </w:r>
          </w:p>
        </w:tc>
      </w:tr>
      <w:tr w:rsidR="008B66DC" w:rsidRPr="008B66DC" w:rsidTr="00412E8F">
        <w:trPr>
          <w:trHeight w:val="300"/>
          <w:jc w:val="center"/>
        </w:trPr>
        <w:tc>
          <w:tcPr>
            <w:tcW w:w="2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1DE" w:rsidRPr="008B66DC" w:rsidRDefault="006531DE" w:rsidP="00653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hAnsi="Times New Roman" w:cs="Times New Roman"/>
                <w:szCs w:val="24"/>
                <w:lang w:val="pt-BR"/>
              </w:rPr>
              <w:t>Segurança de Processos na Industria Química</w:t>
            </w:r>
          </w:p>
        </w:tc>
        <w:tc>
          <w:tcPr>
            <w:tcW w:w="1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1DE" w:rsidRPr="008B66DC" w:rsidRDefault="006531DE" w:rsidP="00155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Engenharia Química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1DE" w:rsidRPr="008B66DC" w:rsidRDefault="006531DE" w:rsidP="00155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USP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531DE" w:rsidRPr="008B66DC" w:rsidRDefault="006531DE" w:rsidP="00155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30</w:t>
            </w:r>
          </w:p>
        </w:tc>
      </w:tr>
      <w:tr w:rsidR="008B66DC" w:rsidRPr="008B66DC" w:rsidTr="007D668A">
        <w:trPr>
          <w:trHeight w:val="300"/>
          <w:jc w:val="center"/>
        </w:trPr>
        <w:tc>
          <w:tcPr>
            <w:tcW w:w="2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1DE" w:rsidRPr="008B66DC" w:rsidRDefault="00412E8F" w:rsidP="00F30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 xml:space="preserve">Gerenciamento de Riscos de Processo Industrial </w:t>
            </w:r>
          </w:p>
        </w:tc>
        <w:tc>
          <w:tcPr>
            <w:tcW w:w="1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1DE" w:rsidRPr="008B66DC" w:rsidRDefault="00412E8F" w:rsidP="00653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Engenharia de Produção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1DE" w:rsidRPr="008B66DC" w:rsidRDefault="00412E8F" w:rsidP="00653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UFF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531DE" w:rsidRPr="008B66DC" w:rsidRDefault="007D668A" w:rsidP="00653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30</w:t>
            </w:r>
          </w:p>
        </w:tc>
      </w:tr>
      <w:tr w:rsidR="008B66DC" w:rsidRPr="008B66DC" w:rsidTr="00F30124">
        <w:trPr>
          <w:trHeight w:val="300"/>
          <w:jc w:val="center"/>
        </w:trPr>
        <w:tc>
          <w:tcPr>
            <w:tcW w:w="2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24" w:rsidRPr="008B66DC" w:rsidRDefault="00BD0018" w:rsidP="00F30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Análise de Risco</w:t>
            </w:r>
          </w:p>
        </w:tc>
        <w:tc>
          <w:tcPr>
            <w:tcW w:w="1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24" w:rsidRPr="008B66DC" w:rsidRDefault="00BD0018" w:rsidP="00653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Engenharia Ambiental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124" w:rsidRPr="008B66DC" w:rsidRDefault="00BD0018" w:rsidP="00653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UFAL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30124" w:rsidRPr="008B66DC" w:rsidDel="00F30124" w:rsidRDefault="00E2620F" w:rsidP="00653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t-BR" w:eastAsia="pt-BR"/>
              </w:rPr>
            </w:pPr>
            <w:r w:rsidRPr="008B66DC">
              <w:rPr>
                <w:rFonts w:ascii="Times New Roman" w:eastAsia="Times New Roman" w:hAnsi="Times New Roman" w:cs="Times New Roman"/>
                <w:lang w:val="pt-BR" w:eastAsia="pt-BR"/>
              </w:rPr>
              <w:t>30</w:t>
            </w:r>
          </w:p>
        </w:tc>
      </w:tr>
    </w:tbl>
    <w:p w:rsidR="000D6B4A" w:rsidRPr="008B66DC" w:rsidRDefault="000D6B4A" w:rsidP="00ED6B38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lang w:val="pt-BR"/>
        </w:rPr>
      </w:pPr>
    </w:p>
    <w:p w:rsidR="001A2531" w:rsidRPr="008B66DC" w:rsidRDefault="00693115" w:rsidP="00236340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 xml:space="preserve">A demanda </w:t>
      </w:r>
      <w:r w:rsidR="001A2531" w:rsidRPr="008B66DC">
        <w:rPr>
          <w:rFonts w:ascii="Times New Roman" w:hAnsi="Times New Roman" w:cs="Times New Roman"/>
          <w:lang w:val="pt-BR"/>
        </w:rPr>
        <w:t xml:space="preserve">observada pelas </w:t>
      </w:r>
      <w:r w:rsidRPr="008B66DC">
        <w:rPr>
          <w:rFonts w:ascii="Times New Roman" w:hAnsi="Times New Roman" w:cs="Times New Roman"/>
          <w:lang w:val="pt-BR"/>
        </w:rPr>
        <w:t>i</w:t>
      </w:r>
      <w:r w:rsidR="001A2531" w:rsidRPr="008B66DC">
        <w:rPr>
          <w:rFonts w:ascii="Times New Roman" w:hAnsi="Times New Roman" w:cs="Times New Roman"/>
          <w:lang w:val="pt-BR"/>
        </w:rPr>
        <w:t>nd</w:t>
      </w:r>
      <w:r w:rsidRPr="008B66DC">
        <w:rPr>
          <w:rFonts w:ascii="Times New Roman" w:hAnsi="Times New Roman" w:cs="Times New Roman"/>
          <w:lang w:val="pt-BR"/>
        </w:rPr>
        <w:t>ú</w:t>
      </w:r>
      <w:r w:rsidR="001A2531" w:rsidRPr="008B66DC">
        <w:rPr>
          <w:rFonts w:ascii="Times New Roman" w:hAnsi="Times New Roman" w:cs="Times New Roman"/>
          <w:lang w:val="pt-BR"/>
        </w:rPr>
        <w:t>strias, resultou</w:t>
      </w:r>
      <w:r w:rsidRPr="008B66DC">
        <w:rPr>
          <w:rFonts w:ascii="Times New Roman" w:hAnsi="Times New Roman" w:cs="Times New Roman"/>
          <w:lang w:val="pt-BR"/>
        </w:rPr>
        <w:t xml:space="preserve"> na realização de um projeto de reestruturação da grade curricular do curso de engenharia química. Este projeto foi coordenado pela </w:t>
      </w:r>
      <w:r w:rsidR="001A2531" w:rsidRPr="008B66DC">
        <w:rPr>
          <w:rFonts w:ascii="Times New Roman" w:hAnsi="Times New Roman" w:cs="Times New Roman"/>
          <w:lang w:val="pt-BR"/>
        </w:rPr>
        <w:t>Confederação Nacional da Indústria e o SENAI</w:t>
      </w:r>
      <w:r w:rsidRPr="008B66DC">
        <w:rPr>
          <w:rFonts w:ascii="Times New Roman" w:hAnsi="Times New Roman" w:cs="Times New Roman"/>
          <w:lang w:val="pt-BR"/>
        </w:rPr>
        <w:t xml:space="preserve">, </w:t>
      </w:r>
      <w:r w:rsidR="001A2531" w:rsidRPr="008B66DC">
        <w:rPr>
          <w:rFonts w:ascii="Times New Roman" w:hAnsi="Times New Roman" w:cs="Times New Roman"/>
          <w:lang w:val="pt-BR"/>
        </w:rPr>
        <w:t>um Comitê Técnico Setorial</w:t>
      </w:r>
      <w:r w:rsidR="00AE7C98" w:rsidRPr="008B66DC">
        <w:rPr>
          <w:rFonts w:ascii="Times New Roman" w:hAnsi="Times New Roman" w:cs="Times New Roman"/>
          <w:lang w:val="pt-BR"/>
        </w:rPr>
        <w:t xml:space="preserve"> (CTS)</w:t>
      </w:r>
      <w:r w:rsidR="00822C4F" w:rsidRPr="008B66DC">
        <w:rPr>
          <w:rFonts w:ascii="Times New Roman" w:hAnsi="Times New Roman" w:cs="Times New Roman"/>
          <w:lang w:val="pt-BR"/>
        </w:rPr>
        <w:t xml:space="preserve"> foi realizado</w:t>
      </w:r>
      <w:r w:rsidR="001A2531" w:rsidRPr="008B66DC">
        <w:rPr>
          <w:rFonts w:ascii="Times New Roman" w:hAnsi="Times New Roman" w:cs="Times New Roman"/>
          <w:lang w:val="pt-BR"/>
        </w:rPr>
        <w:t xml:space="preserve">, </w:t>
      </w:r>
      <w:r w:rsidR="00822C4F" w:rsidRPr="008B66DC">
        <w:rPr>
          <w:rFonts w:ascii="Times New Roman" w:hAnsi="Times New Roman" w:cs="Times New Roman"/>
          <w:lang w:val="pt-BR"/>
        </w:rPr>
        <w:t>e</w:t>
      </w:r>
      <w:r w:rsidRPr="008B66DC">
        <w:rPr>
          <w:rFonts w:ascii="Times New Roman" w:hAnsi="Times New Roman" w:cs="Times New Roman"/>
          <w:lang w:val="pt-BR"/>
        </w:rPr>
        <w:t xml:space="preserve"> contou com a participação de um conselho de especialistas </w:t>
      </w:r>
      <w:r w:rsidR="00822C4F" w:rsidRPr="008B66DC">
        <w:rPr>
          <w:rFonts w:ascii="Times New Roman" w:hAnsi="Times New Roman" w:cs="Times New Roman"/>
          <w:lang w:val="pt-BR"/>
        </w:rPr>
        <w:t>formado de gestores de empresas de grande porte, sindicatos, conselhos e associações</w:t>
      </w:r>
      <w:r w:rsidR="00AE7C98" w:rsidRPr="008B66DC">
        <w:rPr>
          <w:rFonts w:ascii="Times New Roman" w:hAnsi="Times New Roman" w:cs="Times New Roman"/>
          <w:lang w:val="pt-BR"/>
        </w:rPr>
        <w:t xml:space="preserve">, totalizando 25 participantes. O CTS ocorreu em julho de 2017 e teve como objetivo pontuar </w:t>
      </w:r>
      <w:r w:rsidRPr="008B66DC">
        <w:rPr>
          <w:rFonts w:ascii="Times New Roman" w:hAnsi="Times New Roman" w:cs="Times New Roman"/>
          <w:lang w:val="pt-BR"/>
        </w:rPr>
        <w:t>as demandas do mercado em relação ao perfil profissional dos novos engenheiros químicos</w:t>
      </w:r>
      <w:r w:rsidR="001A2531" w:rsidRPr="008B66DC">
        <w:rPr>
          <w:rFonts w:ascii="Times New Roman" w:hAnsi="Times New Roman" w:cs="Times New Roman"/>
          <w:lang w:val="pt-BR"/>
        </w:rPr>
        <w:t>.</w:t>
      </w:r>
    </w:p>
    <w:p w:rsidR="00AE7C98" w:rsidRPr="008B66DC" w:rsidRDefault="00C53149" w:rsidP="00236340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 xml:space="preserve">O </w:t>
      </w:r>
      <w:r w:rsidR="00243C32" w:rsidRPr="008B66DC">
        <w:rPr>
          <w:rFonts w:ascii="Times New Roman" w:hAnsi="Times New Roman" w:cs="Times New Roman"/>
          <w:lang w:val="pt-BR"/>
        </w:rPr>
        <w:t>pain</w:t>
      </w:r>
      <w:r w:rsidR="00243C32">
        <w:rPr>
          <w:rFonts w:ascii="Times New Roman" w:hAnsi="Times New Roman" w:cs="Times New Roman"/>
          <w:lang w:val="pt-BR"/>
        </w:rPr>
        <w:t>e</w:t>
      </w:r>
      <w:r w:rsidR="00243C32" w:rsidRPr="008B66DC">
        <w:rPr>
          <w:rFonts w:ascii="Times New Roman" w:hAnsi="Times New Roman" w:cs="Times New Roman"/>
          <w:lang w:val="pt-BR"/>
        </w:rPr>
        <w:t>l</w:t>
      </w:r>
      <w:r w:rsidRPr="008B66DC">
        <w:rPr>
          <w:rFonts w:ascii="Times New Roman" w:hAnsi="Times New Roman" w:cs="Times New Roman"/>
          <w:lang w:val="pt-BR"/>
        </w:rPr>
        <w:t xml:space="preserve"> de especialistas apontou a necessidade da segurança de processos em todas as competências que constam no perfil do engenheiro químico, que se desdobraram na</w:t>
      </w:r>
      <w:r w:rsidR="00AE7C98" w:rsidRPr="008B66DC">
        <w:rPr>
          <w:rFonts w:ascii="Times New Roman" w:hAnsi="Times New Roman" w:cs="Times New Roman"/>
          <w:lang w:val="pt-BR"/>
        </w:rPr>
        <w:t>s</w:t>
      </w:r>
      <w:r w:rsidRPr="008B66DC">
        <w:rPr>
          <w:rFonts w:ascii="Times New Roman" w:hAnsi="Times New Roman" w:cs="Times New Roman"/>
          <w:lang w:val="pt-BR"/>
        </w:rPr>
        <w:t xml:space="preserve"> capacidade</w:t>
      </w:r>
      <w:r w:rsidR="00AE7C98" w:rsidRPr="008B66DC">
        <w:rPr>
          <w:rFonts w:ascii="Times New Roman" w:hAnsi="Times New Roman" w:cs="Times New Roman"/>
          <w:lang w:val="pt-BR"/>
        </w:rPr>
        <w:t>s</w:t>
      </w:r>
      <w:r w:rsidRPr="008B66DC">
        <w:rPr>
          <w:rFonts w:ascii="Times New Roman" w:hAnsi="Times New Roman" w:cs="Times New Roman"/>
          <w:lang w:val="pt-BR"/>
        </w:rPr>
        <w:t xml:space="preserve"> que dever</w:t>
      </w:r>
      <w:r w:rsidR="00AE7C98" w:rsidRPr="008B66DC">
        <w:rPr>
          <w:rFonts w:ascii="Times New Roman" w:hAnsi="Times New Roman" w:cs="Times New Roman"/>
          <w:lang w:val="pt-BR"/>
        </w:rPr>
        <w:t>ão</w:t>
      </w:r>
      <w:r w:rsidRPr="008B66DC">
        <w:rPr>
          <w:rFonts w:ascii="Times New Roman" w:hAnsi="Times New Roman" w:cs="Times New Roman"/>
          <w:lang w:val="pt-BR"/>
        </w:rPr>
        <w:t xml:space="preserve"> ser desenvolvida</w:t>
      </w:r>
      <w:r w:rsidR="00AE7C98" w:rsidRPr="008B66DC">
        <w:rPr>
          <w:rFonts w:ascii="Times New Roman" w:hAnsi="Times New Roman" w:cs="Times New Roman"/>
          <w:lang w:val="pt-BR"/>
        </w:rPr>
        <w:t>spelos</w:t>
      </w:r>
      <w:r w:rsidRPr="008B66DC">
        <w:rPr>
          <w:rFonts w:ascii="Times New Roman" w:hAnsi="Times New Roman" w:cs="Times New Roman"/>
          <w:lang w:val="pt-BR"/>
        </w:rPr>
        <w:t xml:space="preserve"> alunos de graduação</w:t>
      </w:r>
      <w:r w:rsidR="00AE7C98" w:rsidRPr="008B66DC">
        <w:rPr>
          <w:rFonts w:ascii="Times New Roman" w:hAnsi="Times New Roman" w:cs="Times New Roman"/>
          <w:lang w:val="pt-BR"/>
        </w:rPr>
        <w:t>, tais como (Itinerário Nacional- Química):</w:t>
      </w:r>
    </w:p>
    <w:p w:rsidR="00AE7C98" w:rsidRPr="008B66DC" w:rsidRDefault="00AE7C98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>Determinar as ações preventivas e ou mitigadora</w:t>
      </w:r>
      <w:r w:rsidR="00D9314E" w:rsidRPr="008B66DC">
        <w:rPr>
          <w:rFonts w:ascii="Times New Roman" w:hAnsi="Times New Roman" w:cs="Times New Roman"/>
          <w:szCs w:val="24"/>
          <w:lang w:val="pt-BR"/>
        </w:rPr>
        <w:t xml:space="preserve">s para cada risco ou perigo de </w:t>
      </w:r>
      <w:r w:rsidRPr="008B66DC">
        <w:rPr>
          <w:rFonts w:ascii="Times New Roman" w:hAnsi="Times New Roman" w:cs="Times New Roman"/>
          <w:szCs w:val="24"/>
          <w:lang w:val="pt-BR"/>
        </w:rPr>
        <w:t>acordo com as características do processo identificado na concepção dos processos químicos e ou bioquímicos, por meio da utilização de técnicas de análise de riscos</w:t>
      </w:r>
      <w:r w:rsidR="00D9314E" w:rsidRPr="008B66DC">
        <w:rPr>
          <w:rFonts w:ascii="Times New Roman" w:hAnsi="Times New Roman" w:cs="Times New Roman"/>
          <w:szCs w:val="24"/>
          <w:lang w:val="pt-BR"/>
        </w:rPr>
        <w:t>;</w:t>
      </w:r>
    </w:p>
    <w:p w:rsidR="00AE7C98" w:rsidRPr="008B66DC" w:rsidRDefault="00AE7C98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>Classificar os níveis de riscos ou perigo identificados por meio da utilização de técnicas de análises de riscos</w:t>
      </w:r>
      <w:r w:rsidR="00D9314E" w:rsidRPr="008B66DC">
        <w:rPr>
          <w:rFonts w:ascii="Times New Roman" w:hAnsi="Times New Roman" w:cs="Times New Roman"/>
          <w:szCs w:val="24"/>
          <w:lang w:val="pt-BR"/>
        </w:rPr>
        <w:t>;</w:t>
      </w:r>
    </w:p>
    <w:p w:rsidR="00D9314E" w:rsidRPr="008B66DC" w:rsidRDefault="00AE7C98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>Identificar riscos relativos à segurança de processo, segurança do trabalho e ao meio ambiente presentes nos processos químicos e ou bioquímicos</w:t>
      </w:r>
      <w:r w:rsidR="00D9314E" w:rsidRPr="008B66DC">
        <w:rPr>
          <w:rFonts w:ascii="Times New Roman" w:hAnsi="Times New Roman" w:cs="Times New Roman"/>
          <w:szCs w:val="24"/>
          <w:lang w:val="pt-BR"/>
        </w:rPr>
        <w:t>.</w:t>
      </w:r>
    </w:p>
    <w:p w:rsidR="001A2531" w:rsidRPr="008B66DC" w:rsidRDefault="001A2531" w:rsidP="00236340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>O produto desse comitê foi a nova grade curricular de Engenharia Química, implementada no SENAI CETIQ em fevereiro de 2019 e que tem dentre seus objetivos abordar a Segurança de Processo de forma transversal, dentro de diversas disciplinas</w:t>
      </w:r>
      <w:r w:rsidR="00E54A22" w:rsidRPr="008B66DC">
        <w:rPr>
          <w:rFonts w:ascii="Times New Roman" w:hAnsi="Times New Roman" w:cs="Times New Roman"/>
          <w:lang w:val="pt-BR"/>
        </w:rPr>
        <w:t xml:space="preserve"> e abrangendo a gestão e a operação dos sistemas de segurança de processo</w:t>
      </w:r>
      <w:r w:rsidRPr="008B66DC">
        <w:rPr>
          <w:rFonts w:ascii="Times New Roman" w:hAnsi="Times New Roman" w:cs="Times New Roman"/>
          <w:lang w:val="pt-BR"/>
        </w:rPr>
        <w:t>.</w:t>
      </w:r>
    </w:p>
    <w:p w:rsidR="00ED6B38" w:rsidRPr="008B66DC" w:rsidRDefault="00ED6B38" w:rsidP="00ED6B38">
      <w:pPr>
        <w:pStyle w:val="PargrafodaLista"/>
        <w:numPr>
          <w:ilvl w:val="0"/>
          <w:numId w:val="14"/>
        </w:numPr>
        <w:autoSpaceDE w:val="0"/>
        <w:autoSpaceDN w:val="0"/>
        <w:adjustRightInd w:val="0"/>
        <w:spacing w:before="240"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8B66DC">
        <w:rPr>
          <w:rFonts w:ascii="Times New Roman" w:hAnsi="Times New Roman" w:cs="Times New Roman"/>
          <w:b/>
          <w:sz w:val="24"/>
          <w:szCs w:val="24"/>
          <w:lang w:val="pt-BR"/>
        </w:rPr>
        <w:lastRenderedPageBreak/>
        <w:t>FORMAÇÃO DE COMPETÊNCIAS EM SEGURANÇA DE PROCESSOS E SEGURANÇA OPERACIONAL NAS INDÚSTRIAS</w:t>
      </w:r>
      <w:r w:rsidR="00B94273" w:rsidRPr="008B66DC">
        <w:rPr>
          <w:rFonts w:ascii="Times New Roman" w:hAnsi="Times New Roman" w:cs="Times New Roman"/>
          <w:b/>
          <w:sz w:val="24"/>
          <w:szCs w:val="24"/>
          <w:lang w:val="pt-BR"/>
        </w:rPr>
        <w:t xml:space="preserve"> – ESTUDO DE CASO</w:t>
      </w:r>
      <w:r w:rsidRPr="008B66DC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</w:p>
    <w:p w:rsidR="00D46EB7" w:rsidRPr="008B66DC" w:rsidRDefault="00C75A40" w:rsidP="00236340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>Nas industrias podemos citar que o</w:t>
      </w:r>
      <w:r w:rsidR="00ED6B38" w:rsidRPr="008B66DC">
        <w:rPr>
          <w:rFonts w:ascii="Times New Roman" w:hAnsi="Times New Roman" w:cs="Times New Roman"/>
          <w:lang w:val="pt-BR"/>
        </w:rPr>
        <w:t xml:space="preserve"> primeiro passo foi criar códigos próprios de conduta para a segurança de seus processos produtivos de modo a garantir, a nível mundial, sua sustentabilidade. O segundo passo, para uma correta conduta em SEPRO, era a formação de competências em seus trabalhadores. Inicialmente</w:t>
      </w:r>
      <w:r w:rsidR="00055A49" w:rsidRPr="008B66DC">
        <w:rPr>
          <w:rFonts w:ascii="Times New Roman" w:hAnsi="Times New Roman" w:cs="Times New Roman"/>
          <w:lang w:val="pt-BR"/>
        </w:rPr>
        <w:t>,</w:t>
      </w:r>
      <w:r w:rsidR="00ED6B38" w:rsidRPr="008B66DC">
        <w:rPr>
          <w:rFonts w:ascii="Times New Roman" w:hAnsi="Times New Roman" w:cs="Times New Roman"/>
          <w:lang w:val="pt-BR"/>
        </w:rPr>
        <w:t xml:space="preserve"> essa</w:t>
      </w:r>
      <w:r w:rsidR="00055A49" w:rsidRPr="008B66DC">
        <w:rPr>
          <w:rFonts w:ascii="Times New Roman" w:hAnsi="Times New Roman" w:cs="Times New Roman"/>
          <w:lang w:val="pt-BR"/>
        </w:rPr>
        <w:t>s</w:t>
      </w:r>
      <w:r w:rsidR="00ED6B38" w:rsidRPr="008B66DC">
        <w:rPr>
          <w:rFonts w:ascii="Times New Roman" w:hAnsi="Times New Roman" w:cs="Times New Roman"/>
          <w:lang w:val="pt-BR"/>
        </w:rPr>
        <w:t xml:space="preserve"> competência</w:t>
      </w:r>
      <w:r w:rsidR="00055A49" w:rsidRPr="008B66DC">
        <w:rPr>
          <w:rFonts w:ascii="Times New Roman" w:hAnsi="Times New Roman" w:cs="Times New Roman"/>
          <w:lang w:val="pt-BR"/>
        </w:rPr>
        <w:t>s</w:t>
      </w:r>
      <w:r w:rsidR="00ED6B38" w:rsidRPr="008B66DC">
        <w:rPr>
          <w:rFonts w:ascii="Times New Roman" w:hAnsi="Times New Roman" w:cs="Times New Roman"/>
          <w:lang w:val="pt-BR"/>
        </w:rPr>
        <w:t xml:space="preserve"> fo</w:t>
      </w:r>
      <w:r w:rsidR="00055A49" w:rsidRPr="008B66DC">
        <w:rPr>
          <w:rFonts w:ascii="Times New Roman" w:hAnsi="Times New Roman" w:cs="Times New Roman"/>
          <w:lang w:val="pt-BR"/>
        </w:rPr>
        <w:t>ram</w:t>
      </w:r>
      <w:r w:rsidR="00ED6B38" w:rsidRPr="008B66DC">
        <w:rPr>
          <w:rFonts w:ascii="Times New Roman" w:hAnsi="Times New Roman" w:cs="Times New Roman"/>
          <w:lang w:val="pt-BR"/>
        </w:rPr>
        <w:t xml:space="preserve"> gerada</w:t>
      </w:r>
      <w:r w:rsidR="00055A49" w:rsidRPr="008B66DC">
        <w:rPr>
          <w:rFonts w:ascii="Times New Roman" w:hAnsi="Times New Roman" w:cs="Times New Roman"/>
          <w:lang w:val="pt-BR"/>
        </w:rPr>
        <w:t>s</w:t>
      </w:r>
      <w:r w:rsidR="00ED6B38" w:rsidRPr="008B66DC">
        <w:rPr>
          <w:rFonts w:ascii="Times New Roman" w:hAnsi="Times New Roman" w:cs="Times New Roman"/>
          <w:lang w:val="pt-BR"/>
        </w:rPr>
        <w:t xml:space="preserve"> pela experiência de chão de fábrica, aprendendo com os </w:t>
      </w:r>
      <w:r w:rsidR="003B3685" w:rsidRPr="008B66DC">
        <w:rPr>
          <w:rFonts w:ascii="Times New Roman" w:hAnsi="Times New Roman" w:cs="Times New Roman"/>
          <w:lang w:val="pt-BR"/>
        </w:rPr>
        <w:t>erros e fatores humanos</w:t>
      </w:r>
      <w:r w:rsidR="00ED6B38" w:rsidRPr="008B66DC">
        <w:rPr>
          <w:rFonts w:ascii="Times New Roman" w:hAnsi="Times New Roman" w:cs="Times New Roman"/>
          <w:lang w:val="pt-BR"/>
        </w:rPr>
        <w:t>, somad</w:t>
      </w:r>
      <w:r w:rsidR="00055A49" w:rsidRPr="008B66DC">
        <w:rPr>
          <w:rFonts w:ascii="Times New Roman" w:hAnsi="Times New Roman" w:cs="Times New Roman"/>
          <w:lang w:val="pt-BR"/>
        </w:rPr>
        <w:t>a</w:t>
      </w:r>
      <w:r w:rsidR="00ED6B38" w:rsidRPr="008B66DC">
        <w:rPr>
          <w:rFonts w:ascii="Times New Roman" w:hAnsi="Times New Roman" w:cs="Times New Roman"/>
          <w:lang w:val="pt-BR"/>
        </w:rPr>
        <w:t>s a cursos de formação específicas, tais como manutenção, inspeção, operação, instrumentação e outros, que são necessári</w:t>
      </w:r>
      <w:r w:rsidR="003B3685" w:rsidRPr="008B66DC">
        <w:rPr>
          <w:rFonts w:ascii="Times New Roman" w:hAnsi="Times New Roman" w:cs="Times New Roman"/>
          <w:lang w:val="pt-BR"/>
        </w:rPr>
        <w:t>a</w:t>
      </w:r>
      <w:r w:rsidR="00ED6B38" w:rsidRPr="008B66DC">
        <w:rPr>
          <w:rFonts w:ascii="Times New Roman" w:hAnsi="Times New Roman" w:cs="Times New Roman"/>
          <w:lang w:val="pt-BR"/>
        </w:rPr>
        <w:t>s para operar uma planta</w:t>
      </w:r>
      <w:r w:rsidR="003B3685" w:rsidRPr="008B66DC">
        <w:rPr>
          <w:rFonts w:ascii="Times New Roman" w:hAnsi="Times New Roman" w:cs="Times New Roman"/>
          <w:lang w:val="pt-BR"/>
        </w:rPr>
        <w:t xml:space="preserve">. </w:t>
      </w:r>
      <w:r w:rsidR="00055A49" w:rsidRPr="008B66DC">
        <w:rPr>
          <w:rFonts w:ascii="Times New Roman" w:hAnsi="Times New Roman" w:cs="Times New Roman"/>
          <w:lang w:val="pt-BR"/>
        </w:rPr>
        <w:t>A</w:t>
      </w:r>
      <w:r w:rsidR="00ED6B38" w:rsidRPr="008B66DC">
        <w:rPr>
          <w:rFonts w:ascii="Times New Roman" w:hAnsi="Times New Roman" w:cs="Times New Roman"/>
          <w:lang w:val="pt-BR"/>
        </w:rPr>
        <w:t xml:space="preserve"> esses cursos agregava</w:t>
      </w:r>
      <w:r w:rsidR="00D46EB7" w:rsidRPr="008B66DC">
        <w:rPr>
          <w:rFonts w:ascii="Times New Roman" w:hAnsi="Times New Roman" w:cs="Times New Roman"/>
          <w:lang w:val="pt-BR"/>
        </w:rPr>
        <w:t>-se</w:t>
      </w:r>
      <w:r w:rsidR="00ED6B38" w:rsidRPr="008B66DC">
        <w:rPr>
          <w:rFonts w:ascii="Times New Roman" w:hAnsi="Times New Roman" w:cs="Times New Roman"/>
          <w:lang w:val="pt-BR"/>
        </w:rPr>
        <w:t xml:space="preserve"> a experiência de campo para execut</w:t>
      </w:r>
      <w:r w:rsidR="003B3685" w:rsidRPr="008B66DC">
        <w:rPr>
          <w:rFonts w:ascii="Times New Roman" w:hAnsi="Times New Roman" w:cs="Times New Roman"/>
          <w:lang w:val="pt-BR"/>
        </w:rPr>
        <w:t xml:space="preserve">ar as tarefas </w:t>
      </w:r>
      <w:r w:rsidR="00ED6B38" w:rsidRPr="008B66DC">
        <w:rPr>
          <w:rFonts w:ascii="Times New Roman" w:hAnsi="Times New Roman" w:cs="Times New Roman"/>
          <w:lang w:val="pt-BR"/>
        </w:rPr>
        <w:t>de modo seguro. Essas duas experiências somadas, conhecimento técnico e a viv</w:t>
      </w:r>
      <w:r w:rsidR="00055A49" w:rsidRPr="008B66DC">
        <w:rPr>
          <w:rFonts w:ascii="Times New Roman" w:hAnsi="Times New Roman" w:cs="Times New Roman"/>
          <w:lang w:val="pt-BR"/>
        </w:rPr>
        <w:t>ê</w:t>
      </w:r>
      <w:r w:rsidR="00ED6B38" w:rsidRPr="008B66DC">
        <w:rPr>
          <w:rFonts w:ascii="Times New Roman" w:hAnsi="Times New Roman" w:cs="Times New Roman"/>
          <w:lang w:val="pt-BR"/>
        </w:rPr>
        <w:t>ncia de campo</w:t>
      </w:r>
      <w:r w:rsidR="00055A49" w:rsidRPr="008B66DC">
        <w:rPr>
          <w:rFonts w:ascii="Times New Roman" w:hAnsi="Times New Roman" w:cs="Times New Roman"/>
          <w:lang w:val="pt-BR"/>
        </w:rPr>
        <w:t>,</w:t>
      </w:r>
      <w:r w:rsidR="00ED6B38" w:rsidRPr="008B66DC">
        <w:rPr>
          <w:rFonts w:ascii="Times New Roman" w:hAnsi="Times New Roman" w:cs="Times New Roman"/>
          <w:lang w:val="pt-BR"/>
        </w:rPr>
        <w:t xml:space="preserve"> de</w:t>
      </w:r>
      <w:r w:rsidR="00055A49" w:rsidRPr="008B66DC">
        <w:rPr>
          <w:rFonts w:ascii="Times New Roman" w:hAnsi="Times New Roman" w:cs="Times New Roman"/>
          <w:lang w:val="pt-BR"/>
        </w:rPr>
        <w:t>ram</w:t>
      </w:r>
      <w:r w:rsidR="00ED6B38" w:rsidRPr="008B66DC">
        <w:rPr>
          <w:rFonts w:ascii="Times New Roman" w:hAnsi="Times New Roman" w:cs="Times New Roman"/>
          <w:lang w:val="pt-BR"/>
        </w:rPr>
        <w:t xml:space="preserve"> início a formação de especialistas em SEPRO, que</w:t>
      </w:r>
      <w:r w:rsidR="00055A49" w:rsidRPr="008B66DC">
        <w:rPr>
          <w:rFonts w:ascii="Times New Roman" w:hAnsi="Times New Roman" w:cs="Times New Roman"/>
          <w:lang w:val="pt-BR"/>
        </w:rPr>
        <w:t>,</w:t>
      </w:r>
      <w:r w:rsidR="00ED6B38" w:rsidRPr="008B66DC">
        <w:rPr>
          <w:rFonts w:ascii="Times New Roman" w:hAnsi="Times New Roman" w:cs="Times New Roman"/>
          <w:lang w:val="pt-BR"/>
        </w:rPr>
        <w:t xml:space="preserve"> por sua </w:t>
      </w:r>
      <w:r w:rsidR="00822878" w:rsidRPr="008B66DC">
        <w:rPr>
          <w:rFonts w:ascii="Times New Roman" w:hAnsi="Times New Roman" w:cs="Times New Roman"/>
          <w:lang w:val="pt-BR"/>
        </w:rPr>
        <w:t>vez, multiplicavam</w:t>
      </w:r>
      <w:r w:rsidR="00055A49" w:rsidRPr="008B66DC">
        <w:rPr>
          <w:rFonts w:ascii="Times New Roman" w:hAnsi="Times New Roman" w:cs="Times New Roman"/>
          <w:lang w:val="pt-BR"/>
        </w:rPr>
        <w:t xml:space="preserve"> estes saberes</w:t>
      </w:r>
      <w:r w:rsidR="00ED6B38" w:rsidRPr="008B66DC">
        <w:rPr>
          <w:rFonts w:ascii="Times New Roman" w:hAnsi="Times New Roman" w:cs="Times New Roman"/>
          <w:lang w:val="pt-BR"/>
        </w:rPr>
        <w:t xml:space="preserve"> para seus engenheiros de projeto, de automação e de manutenção, e </w:t>
      </w:r>
      <w:r w:rsidR="00055A49" w:rsidRPr="008B66DC">
        <w:rPr>
          <w:rFonts w:ascii="Times New Roman" w:hAnsi="Times New Roman" w:cs="Times New Roman"/>
          <w:lang w:val="pt-BR"/>
        </w:rPr>
        <w:t>para os</w:t>
      </w:r>
      <w:r w:rsidR="00ED6B38" w:rsidRPr="008B66DC">
        <w:rPr>
          <w:rFonts w:ascii="Times New Roman" w:hAnsi="Times New Roman" w:cs="Times New Roman"/>
          <w:lang w:val="pt-BR"/>
        </w:rPr>
        <w:t xml:space="preserve"> responsáveis pela produção. </w:t>
      </w:r>
      <w:r w:rsidR="003B3685" w:rsidRPr="008B66DC">
        <w:rPr>
          <w:rFonts w:ascii="Times New Roman" w:hAnsi="Times New Roman" w:cs="Times New Roman"/>
          <w:lang w:val="pt-BR"/>
        </w:rPr>
        <w:t>E</w:t>
      </w:r>
      <w:r w:rsidR="00ED6B38" w:rsidRPr="008B66DC">
        <w:rPr>
          <w:rFonts w:ascii="Times New Roman" w:hAnsi="Times New Roman" w:cs="Times New Roman"/>
          <w:lang w:val="pt-BR"/>
        </w:rPr>
        <w:t>s</w:t>
      </w:r>
      <w:r w:rsidR="003B3685" w:rsidRPr="008B66DC">
        <w:rPr>
          <w:rFonts w:ascii="Times New Roman" w:hAnsi="Times New Roman" w:cs="Times New Roman"/>
          <w:lang w:val="pt-BR"/>
        </w:rPr>
        <w:t>t</w:t>
      </w:r>
      <w:r w:rsidR="00ED6B38" w:rsidRPr="008B66DC">
        <w:rPr>
          <w:rFonts w:ascii="Times New Roman" w:hAnsi="Times New Roman" w:cs="Times New Roman"/>
          <w:lang w:val="pt-BR"/>
        </w:rPr>
        <w:t>e processo de capacitação</w:t>
      </w:r>
      <w:r w:rsidR="003B3685" w:rsidRPr="008B66DC">
        <w:rPr>
          <w:rFonts w:ascii="Times New Roman" w:hAnsi="Times New Roman" w:cs="Times New Roman"/>
          <w:lang w:val="pt-BR"/>
        </w:rPr>
        <w:t xml:space="preserve"> baseado no tripé dedicação, experiência de campo e cursos pontuais de especialização</w:t>
      </w:r>
      <w:r w:rsidR="00ED6B38" w:rsidRPr="008B66DC">
        <w:rPr>
          <w:rFonts w:ascii="Times New Roman" w:hAnsi="Times New Roman" w:cs="Times New Roman"/>
          <w:lang w:val="pt-BR"/>
        </w:rPr>
        <w:t xml:space="preserve">é </w:t>
      </w:r>
      <w:r w:rsidR="003B3685" w:rsidRPr="008B66DC">
        <w:rPr>
          <w:rFonts w:ascii="Times New Roman" w:hAnsi="Times New Roman" w:cs="Times New Roman"/>
          <w:lang w:val="pt-BR"/>
        </w:rPr>
        <w:t>longo</w:t>
      </w:r>
      <w:r w:rsidR="00ED6B38" w:rsidRPr="008B66DC">
        <w:rPr>
          <w:rFonts w:ascii="Times New Roman" w:hAnsi="Times New Roman" w:cs="Times New Roman"/>
          <w:lang w:val="pt-BR"/>
        </w:rPr>
        <w:t xml:space="preserve"> e custoso tanto para a indústria </w:t>
      </w:r>
      <w:r w:rsidR="003B3685" w:rsidRPr="008B66DC">
        <w:rPr>
          <w:rFonts w:ascii="Times New Roman" w:hAnsi="Times New Roman" w:cs="Times New Roman"/>
          <w:lang w:val="pt-BR"/>
        </w:rPr>
        <w:t xml:space="preserve">quanto </w:t>
      </w:r>
      <w:r w:rsidR="00ED6B38" w:rsidRPr="008B66DC">
        <w:rPr>
          <w:rFonts w:ascii="Times New Roman" w:hAnsi="Times New Roman" w:cs="Times New Roman"/>
          <w:lang w:val="pt-BR"/>
        </w:rPr>
        <w:t>para o profissional</w:t>
      </w:r>
      <w:r w:rsidRPr="008B66DC">
        <w:rPr>
          <w:rFonts w:ascii="Times New Roman" w:hAnsi="Times New Roman" w:cs="Times New Roman"/>
          <w:lang w:val="pt-BR"/>
        </w:rPr>
        <w:t xml:space="preserve">. </w:t>
      </w:r>
    </w:p>
    <w:p w:rsidR="00A40A44" w:rsidRPr="008B66DC" w:rsidRDefault="00ED6B38" w:rsidP="00236340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>Nos tempos atuais</w:t>
      </w:r>
      <w:r w:rsidR="003B3685" w:rsidRPr="008B66DC">
        <w:rPr>
          <w:rFonts w:ascii="Times New Roman" w:hAnsi="Times New Roman" w:cs="Times New Roman"/>
          <w:lang w:val="pt-BR"/>
        </w:rPr>
        <w:t>,</w:t>
      </w:r>
      <w:r w:rsidRPr="008B66DC">
        <w:rPr>
          <w:rFonts w:ascii="Times New Roman" w:hAnsi="Times New Roman" w:cs="Times New Roman"/>
          <w:lang w:val="pt-BR"/>
        </w:rPr>
        <w:t xml:space="preserve"> esse processo lento e desgastante de capacitação, baseado somente </w:t>
      </w:r>
      <w:r w:rsidR="00D46EB7" w:rsidRPr="008B66DC">
        <w:rPr>
          <w:rFonts w:ascii="Times New Roman" w:hAnsi="Times New Roman" w:cs="Times New Roman"/>
          <w:lang w:val="pt-BR"/>
        </w:rPr>
        <w:t>n</w:t>
      </w:r>
      <w:r w:rsidRPr="008B66DC">
        <w:rPr>
          <w:rFonts w:ascii="Times New Roman" w:hAnsi="Times New Roman" w:cs="Times New Roman"/>
          <w:lang w:val="pt-BR"/>
        </w:rPr>
        <w:t>a experiência de campo e na dedicação do profissional, não é mais suportado pela indústria e seus parceiros</w:t>
      </w:r>
      <w:r w:rsidR="00D46EB7" w:rsidRPr="008B66DC">
        <w:rPr>
          <w:rFonts w:ascii="Times New Roman" w:hAnsi="Times New Roman" w:cs="Times New Roman"/>
          <w:lang w:val="pt-BR"/>
        </w:rPr>
        <w:t xml:space="preserve">. </w:t>
      </w:r>
      <w:r w:rsidR="004E2ABC" w:rsidRPr="008B66DC">
        <w:rPr>
          <w:rFonts w:ascii="Times New Roman" w:hAnsi="Times New Roman" w:cs="Times New Roman"/>
          <w:lang w:val="pt-BR"/>
        </w:rPr>
        <w:t xml:space="preserve">É necessário que </w:t>
      </w:r>
      <w:r w:rsidRPr="008B66DC">
        <w:rPr>
          <w:rFonts w:ascii="Times New Roman" w:hAnsi="Times New Roman" w:cs="Times New Roman"/>
          <w:lang w:val="pt-BR"/>
        </w:rPr>
        <w:t>os conhecimentos adquiridos por vários profissionais</w:t>
      </w:r>
      <w:r w:rsidR="004E2ABC" w:rsidRPr="008B66DC">
        <w:rPr>
          <w:rFonts w:ascii="Times New Roman" w:hAnsi="Times New Roman" w:cs="Times New Roman"/>
          <w:lang w:val="pt-BR"/>
        </w:rPr>
        <w:t xml:space="preserve"> sejam difundidos de maneira rápida e objetiva. Esta </w:t>
      </w:r>
      <w:r w:rsidRPr="008B66DC">
        <w:rPr>
          <w:rFonts w:ascii="Times New Roman" w:hAnsi="Times New Roman" w:cs="Times New Roman"/>
          <w:lang w:val="pt-BR"/>
        </w:rPr>
        <w:t>experiência adquirida ao longo do tempo por esses especialistas, aliada as novas técnicas e ferramentas de gestão</w:t>
      </w:r>
      <w:r w:rsidR="004E2ABC" w:rsidRPr="008B66DC">
        <w:rPr>
          <w:rFonts w:ascii="Times New Roman" w:hAnsi="Times New Roman" w:cs="Times New Roman"/>
          <w:lang w:val="pt-BR"/>
        </w:rPr>
        <w:t>,pode ser</w:t>
      </w:r>
      <w:r w:rsidR="00A40A44" w:rsidRPr="008B66DC">
        <w:rPr>
          <w:rFonts w:ascii="Times New Roman" w:hAnsi="Times New Roman" w:cs="Times New Roman"/>
          <w:lang w:val="pt-BR"/>
        </w:rPr>
        <w:t>transmitida</w:t>
      </w:r>
      <w:r w:rsidRPr="008B66DC">
        <w:rPr>
          <w:rFonts w:ascii="Times New Roman" w:hAnsi="Times New Roman" w:cs="Times New Roman"/>
          <w:lang w:val="pt-BR"/>
        </w:rPr>
        <w:t xml:space="preserve"> aos novos postulantes como profissionais de SEPRO</w:t>
      </w:r>
      <w:r w:rsidR="00EE5C95" w:rsidRPr="008B66DC">
        <w:rPr>
          <w:rFonts w:ascii="Times New Roman" w:hAnsi="Times New Roman" w:cs="Times New Roman"/>
          <w:lang w:val="pt-BR"/>
        </w:rPr>
        <w:t>.</w:t>
      </w:r>
      <w:r w:rsidRPr="008B66DC">
        <w:rPr>
          <w:rFonts w:ascii="Times New Roman" w:hAnsi="Times New Roman" w:cs="Times New Roman"/>
          <w:lang w:val="pt-BR"/>
        </w:rPr>
        <w:t xml:space="preserve">Nessa nova linha de conduta, para </w:t>
      </w:r>
      <w:r w:rsidR="00EE5C95" w:rsidRPr="008B66DC">
        <w:rPr>
          <w:rFonts w:ascii="Times New Roman" w:hAnsi="Times New Roman" w:cs="Times New Roman"/>
          <w:lang w:val="pt-BR"/>
        </w:rPr>
        <w:t>a capacitação de</w:t>
      </w:r>
      <w:r w:rsidRPr="008B66DC">
        <w:rPr>
          <w:rFonts w:ascii="Times New Roman" w:hAnsi="Times New Roman" w:cs="Times New Roman"/>
          <w:lang w:val="pt-BR"/>
        </w:rPr>
        <w:t xml:space="preserve"> novos profissionais de SEPRO estão </w:t>
      </w:r>
      <w:r w:rsidR="00EE5C95" w:rsidRPr="008B66DC">
        <w:rPr>
          <w:rFonts w:ascii="Times New Roman" w:hAnsi="Times New Roman" w:cs="Times New Roman"/>
          <w:lang w:val="pt-BR"/>
        </w:rPr>
        <w:t xml:space="preserve">incluídos </w:t>
      </w:r>
      <w:r w:rsidRPr="008B66DC">
        <w:rPr>
          <w:rFonts w:ascii="Times New Roman" w:hAnsi="Times New Roman" w:cs="Times New Roman"/>
          <w:lang w:val="pt-BR"/>
        </w:rPr>
        <w:t>os atuais cursos de introdução, graduação, extensão</w:t>
      </w:r>
      <w:r w:rsidR="00EE5C95" w:rsidRPr="008B66DC">
        <w:rPr>
          <w:rFonts w:ascii="Times New Roman" w:hAnsi="Times New Roman" w:cs="Times New Roman"/>
          <w:lang w:val="pt-BR"/>
        </w:rPr>
        <w:t xml:space="preserve"> e</w:t>
      </w:r>
      <w:r w:rsidRPr="008B66DC">
        <w:rPr>
          <w:rFonts w:ascii="Times New Roman" w:hAnsi="Times New Roman" w:cs="Times New Roman"/>
          <w:lang w:val="pt-BR"/>
        </w:rPr>
        <w:t xml:space="preserve"> pós-graduação oferecidos </w:t>
      </w:r>
      <w:r w:rsidR="00EE5C95" w:rsidRPr="008B66DC">
        <w:rPr>
          <w:rFonts w:ascii="Times New Roman" w:hAnsi="Times New Roman" w:cs="Times New Roman"/>
          <w:lang w:val="pt-BR"/>
        </w:rPr>
        <w:t>atualmente. Vale ressaltar que</w:t>
      </w:r>
      <w:r w:rsidRPr="008B66DC">
        <w:rPr>
          <w:rFonts w:ascii="Times New Roman" w:hAnsi="Times New Roman" w:cs="Times New Roman"/>
          <w:lang w:val="pt-BR"/>
        </w:rPr>
        <w:t xml:space="preserve"> a dedicação profissional e a experiência de chão de fábrica são imprescindíveis para </w:t>
      </w:r>
      <w:r w:rsidR="00EE5C95" w:rsidRPr="008B66DC">
        <w:rPr>
          <w:rFonts w:ascii="Times New Roman" w:hAnsi="Times New Roman" w:cs="Times New Roman"/>
          <w:lang w:val="pt-BR"/>
        </w:rPr>
        <w:t xml:space="preserve">que haja aprendizagem significativa em que teoria e prática coexistam </w:t>
      </w:r>
      <w:r w:rsidRPr="008B66DC">
        <w:rPr>
          <w:rFonts w:ascii="Times New Roman" w:hAnsi="Times New Roman" w:cs="Times New Roman"/>
          <w:lang w:val="pt-BR"/>
        </w:rPr>
        <w:t xml:space="preserve">nesses cursos de formação. </w:t>
      </w:r>
    </w:p>
    <w:p w:rsidR="00EB26C9" w:rsidRPr="008B66DC" w:rsidRDefault="00EE5C95" w:rsidP="00236340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>Com objetivo de atender as suas demandas prementes de produção de produtos químicos, petróleo, gás e energia com segurança, sustentabilidade e estabilidade e de garantir a melhor produção no menor espaço de tempo, o</w:t>
      </w:r>
      <w:r w:rsidR="00ED6B38" w:rsidRPr="008B66DC">
        <w:rPr>
          <w:rFonts w:ascii="Times New Roman" w:hAnsi="Times New Roman" w:cs="Times New Roman"/>
          <w:lang w:val="pt-BR"/>
        </w:rPr>
        <w:t xml:space="preserve"> desafio para as indústrias que utilizam ess</w:t>
      </w:r>
      <w:r w:rsidRPr="008B66DC">
        <w:rPr>
          <w:rFonts w:ascii="Times New Roman" w:hAnsi="Times New Roman" w:cs="Times New Roman"/>
          <w:lang w:val="pt-BR"/>
        </w:rPr>
        <w:t>es novos modelos de formação de</w:t>
      </w:r>
      <w:r w:rsidR="00ED6B38" w:rsidRPr="008B66DC">
        <w:rPr>
          <w:rFonts w:ascii="Times New Roman" w:hAnsi="Times New Roman" w:cs="Times New Roman"/>
          <w:lang w:val="pt-BR"/>
        </w:rPr>
        <w:t xml:space="preserve"> competências em SEPRO</w:t>
      </w:r>
      <w:r w:rsidRPr="008B66DC">
        <w:rPr>
          <w:rFonts w:ascii="Times New Roman" w:hAnsi="Times New Roman" w:cs="Times New Roman"/>
          <w:lang w:val="pt-BR"/>
        </w:rPr>
        <w:t xml:space="preserve"> é incorporar</w:t>
      </w:r>
      <w:r w:rsidR="00EB26C9" w:rsidRPr="008B66DC">
        <w:rPr>
          <w:rFonts w:ascii="Times New Roman" w:hAnsi="Times New Roman" w:cs="Times New Roman"/>
          <w:lang w:val="pt-BR"/>
        </w:rPr>
        <w:t xml:space="preserve"> à sua cultura novas metodologias de aprendizagem, planejando os passos e metas a serem alcançados, garantindo, por consequência, efetiva aderência às regras de segurança.</w:t>
      </w:r>
    </w:p>
    <w:p w:rsidR="00A40A44" w:rsidRPr="008B66DC" w:rsidRDefault="00ED6B38" w:rsidP="00236340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>Para exemplificar esse desafio da indústria, mostraremos abaixo um exemplo de plano de capacitação d</w:t>
      </w:r>
      <w:r w:rsidR="00C75A40" w:rsidRPr="008B66DC">
        <w:rPr>
          <w:rFonts w:ascii="Times New Roman" w:hAnsi="Times New Roman" w:cs="Times New Roman"/>
          <w:lang w:val="pt-BR"/>
        </w:rPr>
        <w:t xml:space="preserve">a PETROBRAS, </w:t>
      </w:r>
      <w:r w:rsidRPr="008B66DC">
        <w:rPr>
          <w:rFonts w:ascii="Times New Roman" w:hAnsi="Times New Roman" w:cs="Times New Roman"/>
          <w:lang w:val="pt-BR"/>
        </w:rPr>
        <w:t>uma indústria de</w:t>
      </w:r>
      <w:r w:rsidR="00EB26C9" w:rsidRPr="008B66DC">
        <w:rPr>
          <w:rFonts w:ascii="Times New Roman" w:hAnsi="Times New Roman" w:cs="Times New Roman"/>
          <w:lang w:val="pt-BR"/>
        </w:rPr>
        <w:t xml:space="preserve"> óleo e gás (</w:t>
      </w:r>
      <w:r w:rsidRPr="008B66DC">
        <w:rPr>
          <w:rFonts w:ascii="Times New Roman" w:hAnsi="Times New Roman" w:cs="Times New Roman"/>
          <w:lang w:val="pt-BR"/>
        </w:rPr>
        <w:t>O&amp;G</w:t>
      </w:r>
      <w:r w:rsidR="00EB26C9" w:rsidRPr="008B66DC">
        <w:rPr>
          <w:rFonts w:ascii="Times New Roman" w:hAnsi="Times New Roman" w:cs="Times New Roman"/>
          <w:lang w:val="pt-BR"/>
        </w:rPr>
        <w:t>)</w:t>
      </w:r>
      <w:r w:rsidRPr="008B66DC">
        <w:rPr>
          <w:rFonts w:ascii="Times New Roman" w:hAnsi="Times New Roman" w:cs="Times New Roman"/>
          <w:lang w:val="pt-BR"/>
        </w:rPr>
        <w:t xml:space="preserve"> de grande porte</w:t>
      </w:r>
      <w:r w:rsidR="00C75A40" w:rsidRPr="008B66DC">
        <w:rPr>
          <w:rFonts w:ascii="Times New Roman" w:hAnsi="Times New Roman" w:cs="Times New Roman"/>
          <w:lang w:val="pt-BR"/>
        </w:rPr>
        <w:t>,</w:t>
      </w:r>
      <w:r w:rsidRPr="008B66DC">
        <w:rPr>
          <w:rFonts w:ascii="Times New Roman" w:hAnsi="Times New Roman" w:cs="Times New Roman"/>
          <w:lang w:val="pt-BR"/>
        </w:rPr>
        <w:t xml:space="preserve"> onde existe</w:t>
      </w:r>
      <w:r w:rsidR="00EB26C9" w:rsidRPr="008B66DC">
        <w:rPr>
          <w:rFonts w:ascii="Times New Roman" w:hAnsi="Times New Roman" w:cs="Times New Roman"/>
          <w:lang w:val="pt-BR"/>
        </w:rPr>
        <w:t>m</w:t>
      </w:r>
      <w:r w:rsidRPr="008B66DC">
        <w:rPr>
          <w:rFonts w:ascii="Times New Roman" w:hAnsi="Times New Roman" w:cs="Times New Roman"/>
          <w:lang w:val="pt-BR"/>
        </w:rPr>
        <w:t xml:space="preserve"> oportunidades de melhorias </w:t>
      </w:r>
      <w:r w:rsidR="00EB26C9" w:rsidRPr="008B66DC">
        <w:rPr>
          <w:rFonts w:ascii="Times New Roman" w:hAnsi="Times New Roman" w:cs="Times New Roman"/>
          <w:lang w:val="pt-BR"/>
        </w:rPr>
        <w:t xml:space="preserve">na </w:t>
      </w:r>
      <w:r w:rsidRPr="008B66DC">
        <w:rPr>
          <w:rFonts w:ascii="Times New Roman" w:hAnsi="Times New Roman" w:cs="Times New Roman"/>
          <w:lang w:val="pt-BR"/>
        </w:rPr>
        <w:t>incorpora</w:t>
      </w:r>
      <w:r w:rsidR="00EB26C9" w:rsidRPr="008B66DC">
        <w:rPr>
          <w:rFonts w:ascii="Times New Roman" w:hAnsi="Times New Roman" w:cs="Times New Roman"/>
          <w:lang w:val="pt-BR"/>
        </w:rPr>
        <w:t>ção de metodologias ativas na</w:t>
      </w:r>
      <w:r w:rsidRPr="008B66DC">
        <w:rPr>
          <w:rFonts w:ascii="Times New Roman" w:hAnsi="Times New Roman" w:cs="Times New Roman"/>
          <w:lang w:val="pt-BR"/>
        </w:rPr>
        <w:t xml:space="preserve"> forma</w:t>
      </w:r>
      <w:r w:rsidR="00EB26C9" w:rsidRPr="008B66DC">
        <w:rPr>
          <w:rFonts w:ascii="Times New Roman" w:hAnsi="Times New Roman" w:cs="Times New Roman"/>
          <w:lang w:val="pt-BR"/>
        </w:rPr>
        <w:t xml:space="preserve">ção de </w:t>
      </w:r>
      <w:r w:rsidRPr="008B66DC">
        <w:rPr>
          <w:rFonts w:ascii="Times New Roman" w:hAnsi="Times New Roman" w:cs="Times New Roman"/>
          <w:lang w:val="pt-BR"/>
        </w:rPr>
        <w:t>competência</w:t>
      </w:r>
      <w:r w:rsidR="00EB26C9" w:rsidRPr="008B66DC">
        <w:rPr>
          <w:rFonts w:ascii="Times New Roman" w:hAnsi="Times New Roman" w:cs="Times New Roman"/>
          <w:lang w:val="pt-BR"/>
        </w:rPr>
        <w:t xml:space="preserve">s de </w:t>
      </w:r>
      <w:r w:rsidR="005578AF" w:rsidRPr="008B66DC">
        <w:rPr>
          <w:rFonts w:ascii="Times New Roman" w:hAnsi="Times New Roman" w:cs="Times New Roman"/>
          <w:lang w:val="pt-BR"/>
        </w:rPr>
        <w:t>SEPRO</w:t>
      </w:r>
      <w:r w:rsidRPr="008B66DC">
        <w:rPr>
          <w:rFonts w:ascii="Times New Roman" w:hAnsi="Times New Roman" w:cs="Times New Roman"/>
          <w:lang w:val="pt-BR"/>
        </w:rPr>
        <w:t>.</w:t>
      </w:r>
    </w:p>
    <w:p w:rsidR="00C75A40" w:rsidRPr="008B66DC" w:rsidRDefault="00C75A40" w:rsidP="00236340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>A Figura 1 abaixo apresenta a representação gráfica do desenvolvimento de competência na PETROBRAS.</w:t>
      </w:r>
    </w:p>
    <w:p w:rsidR="005578AF" w:rsidRPr="008B66DC" w:rsidRDefault="005578AF" w:rsidP="005578AF">
      <w:pPr>
        <w:autoSpaceDE w:val="0"/>
        <w:autoSpaceDN w:val="0"/>
        <w:adjustRightInd w:val="0"/>
        <w:spacing w:after="120" w:line="240" w:lineRule="auto"/>
        <w:ind w:firstLine="708"/>
        <w:jc w:val="center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>Figura 1 - Desenvolvimento de competência na Petrobras</w:t>
      </w:r>
    </w:p>
    <w:p w:rsidR="00C75A40" w:rsidRPr="008B66DC" w:rsidRDefault="00C75A40" w:rsidP="005578AF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noProof/>
          <w:lang w:val="pt-BR" w:eastAsia="pt-BR"/>
        </w:rPr>
        <w:lastRenderedPageBreak/>
        <w:drawing>
          <wp:inline distT="0" distB="0" distL="0" distR="0">
            <wp:extent cx="5306164" cy="2642347"/>
            <wp:effectExtent l="0" t="0" r="8890" b="571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72567" cy="2675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4273" w:rsidRPr="008B66DC" w:rsidRDefault="00ED6B38" w:rsidP="00236340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>Essa estrutura</w:t>
      </w:r>
      <w:r w:rsidR="00EB26C9" w:rsidRPr="008B66DC">
        <w:rPr>
          <w:rFonts w:ascii="Times New Roman" w:hAnsi="Times New Roman" w:cs="Times New Roman"/>
          <w:lang w:val="pt-BR"/>
        </w:rPr>
        <w:t>,</w:t>
      </w:r>
      <w:r w:rsidRPr="008B66DC">
        <w:rPr>
          <w:rFonts w:ascii="Times New Roman" w:hAnsi="Times New Roman" w:cs="Times New Roman"/>
          <w:lang w:val="pt-BR"/>
        </w:rPr>
        <w:t xml:space="preserve"> criada para o desenvolvimento e capacitação dos empregados</w:t>
      </w:r>
      <w:r w:rsidR="00EB26C9" w:rsidRPr="008B66DC">
        <w:rPr>
          <w:rFonts w:ascii="Times New Roman" w:hAnsi="Times New Roman" w:cs="Times New Roman"/>
          <w:lang w:val="pt-BR"/>
        </w:rPr>
        <w:t>,</w:t>
      </w:r>
      <w:r w:rsidRPr="008B66DC">
        <w:rPr>
          <w:rFonts w:ascii="Times New Roman" w:hAnsi="Times New Roman" w:cs="Times New Roman"/>
          <w:lang w:val="pt-BR"/>
        </w:rPr>
        <w:t xml:space="preserve"> é sustentad</w:t>
      </w:r>
      <w:r w:rsidR="00B94273" w:rsidRPr="008B66DC">
        <w:rPr>
          <w:rFonts w:ascii="Times New Roman" w:hAnsi="Times New Roman" w:cs="Times New Roman"/>
          <w:lang w:val="pt-BR"/>
        </w:rPr>
        <w:t>a</w:t>
      </w:r>
      <w:r w:rsidRPr="008B66DC">
        <w:rPr>
          <w:rFonts w:ascii="Times New Roman" w:hAnsi="Times New Roman" w:cs="Times New Roman"/>
          <w:lang w:val="pt-BR"/>
        </w:rPr>
        <w:t xml:space="preserve"> por uma série de padrões estruturados que dão suporte a gestão desse processo e atendem </w:t>
      </w:r>
      <w:r w:rsidR="00EB26C9" w:rsidRPr="008B66DC">
        <w:rPr>
          <w:rFonts w:ascii="Times New Roman" w:hAnsi="Times New Roman" w:cs="Times New Roman"/>
          <w:lang w:val="pt-BR"/>
        </w:rPr>
        <w:t>à</w:t>
      </w:r>
      <w:r w:rsidRPr="008B66DC">
        <w:rPr>
          <w:rFonts w:ascii="Times New Roman" w:hAnsi="Times New Roman" w:cs="Times New Roman"/>
          <w:lang w:val="pt-BR"/>
        </w:rPr>
        <w:t>s demandas de transferência de conhecimento, desde a entrada do empregado na companhia até o seu desligamento</w:t>
      </w:r>
      <w:r w:rsidR="00721AA9" w:rsidRPr="008B66DC">
        <w:rPr>
          <w:rFonts w:ascii="Times New Roman" w:hAnsi="Times New Roman" w:cs="Times New Roman"/>
          <w:lang w:val="pt-BR"/>
        </w:rPr>
        <w:t>.</w:t>
      </w:r>
    </w:p>
    <w:p w:rsidR="00B94273" w:rsidRPr="008B66DC" w:rsidRDefault="00ED6B38" w:rsidP="00236340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 xml:space="preserve">Existe uma grande quantidade de padrões que podem ser consultados através do sistema de gestão da companhia, para orientar a gestão desses processos, relacionamos abaixo alguns </w:t>
      </w:r>
      <w:r w:rsidR="00721AA9" w:rsidRPr="008B66DC">
        <w:rPr>
          <w:rFonts w:ascii="Times New Roman" w:hAnsi="Times New Roman" w:cs="Times New Roman"/>
          <w:lang w:val="pt-BR"/>
        </w:rPr>
        <w:t xml:space="preserve">dos </w:t>
      </w:r>
      <w:r w:rsidRPr="008B66DC">
        <w:rPr>
          <w:rFonts w:ascii="Times New Roman" w:hAnsi="Times New Roman" w:cs="Times New Roman"/>
          <w:lang w:val="pt-BR"/>
        </w:rPr>
        <w:t xml:space="preserve">padrões corporativos: </w:t>
      </w:r>
    </w:p>
    <w:p w:rsidR="00B94273" w:rsidRPr="008B66DC" w:rsidRDefault="00ED6B38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 xml:space="preserve">PP-1PBR-00367 – Programa de Desenvolvimento de Recursos Humanos – PDRH </w:t>
      </w:r>
    </w:p>
    <w:p w:rsidR="00B94273" w:rsidRPr="008B66DC" w:rsidRDefault="00ED6B38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 xml:space="preserve">PP-1PBR-00061- B – Programa de Desenvolvimento de Recursos Humanos no Exterior - PDRHE </w:t>
      </w:r>
    </w:p>
    <w:p w:rsidR="00B94273" w:rsidRPr="008B66DC" w:rsidRDefault="00ED6B38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 xml:space="preserve">PP-1PRB- 00484 – Programa de Formação de Empregados </w:t>
      </w:r>
    </w:p>
    <w:p w:rsidR="00B94273" w:rsidRPr="008B66DC" w:rsidRDefault="00ED6B38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 xml:space="preserve">PP-1PBR-00228 - Orientações para o Processo Gerir Desenvolvimento de Recursos Humanos </w:t>
      </w:r>
    </w:p>
    <w:p w:rsidR="00B94273" w:rsidRPr="008B66DC" w:rsidRDefault="00ED6B38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 xml:space="preserve">PP-1PBR-0087- A – Treinamento no Local de Trabalho - TLT </w:t>
      </w:r>
    </w:p>
    <w:p w:rsidR="00B94273" w:rsidRPr="008B66DC" w:rsidRDefault="00ED6B38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 xml:space="preserve">PE- 1PBR- 00060 – Cursos de Pós-Graduação no País </w:t>
      </w:r>
    </w:p>
    <w:p w:rsidR="00B94273" w:rsidRPr="008B66DC" w:rsidRDefault="00ED6B38" w:rsidP="00236340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 xml:space="preserve">Entre os padrões que apresentamos acima, </w:t>
      </w:r>
      <w:r w:rsidR="005578AF" w:rsidRPr="008B66DC">
        <w:rPr>
          <w:rFonts w:ascii="Times New Roman" w:hAnsi="Times New Roman" w:cs="Times New Roman"/>
          <w:lang w:val="pt-BR"/>
        </w:rPr>
        <w:t>o PP-1PRB- 00484</w:t>
      </w:r>
      <w:r w:rsidRPr="008B66DC">
        <w:rPr>
          <w:rFonts w:ascii="Times New Roman" w:hAnsi="Times New Roman" w:cs="Times New Roman"/>
          <w:lang w:val="pt-BR"/>
        </w:rPr>
        <w:t xml:space="preserve"> detalha o programa de formação de empregados, focando a capacitação do </w:t>
      </w:r>
      <w:r w:rsidR="00721AA9" w:rsidRPr="008B66DC">
        <w:rPr>
          <w:rFonts w:ascii="Times New Roman" w:hAnsi="Times New Roman" w:cs="Times New Roman"/>
          <w:lang w:val="pt-BR"/>
        </w:rPr>
        <w:t>colaborador recém contratado</w:t>
      </w:r>
      <w:r w:rsidRPr="008B66DC">
        <w:rPr>
          <w:rFonts w:ascii="Times New Roman" w:hAnsi="Times New Roman" w:cs="Times New Roman"/>
          <w:lang w:val="pt-BR"/>
        </w:rPr>
        <w:t>,</w:t>
      </w:r>
      <w:r w:rsidR="005C677F" w:rsidRPr="008B66DC">
        <w:rPr>
          <w:rFonts w:ascii="Times New Roman" w:hAnsi="Times New Roman" w:cs="Times New Roman"/>
          <w:lang w:val="pt-BR"/>
        </w:rPr>
        <w:t xml:space="preserve"> egresso de processo seletivo,</w:t>
      </w:r>
      <w:r w:rsidRPr="008B66DC">
        <w:rPr>
          <w:rFonts w:ascii="Times New Roman" w:hAnsi="Times New Roman" w:cs="Times New Roman"/>
          <w:lang w:val="pt-BR"/>
        </w:rPr>
        <w:t>com objetivo de</w:t>
      </w:r>
      <w:r w:rsidR="005C677F" w:rsidRPr="008B66DC">
        <w:rPr>
          <w:rFonts w:ascii="Times New Roman" w:hAnsi="Times New Roman" w:cs="Times New Roman"/>
          <w:lang w:val="pt-BR"/>
        </w:rPr>
        <w:t>prepará-lo mais rapidamente para a rotina de trabalho</w:t>
      </w:r>
      <w:r w:rsidRPr="008B66DC">
        <w:rPr>
          <w:rFonts w:ascii="Times New Roman" w:hAnsi="Times New Roman" w:cs="Times New Roman"/>
          <w:lang w:val="pt-BR"/>
        </w:rPr>
        <w:t xml:space="preserve">. </w:t>
      </w:r>
    </w:p>
    <w:p w:rsidR="00B94273" w:rsidRPr="008B66DC" w:rsidRDefault="00ED6B38" w:rsidP="00236340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>O padrão fornece os critérios e orientações sobre a realização d</w:t>
      </w:r>
      <w:r w:rsidR="005C677F" w:rsidRPr="008B66DC">
        <w:rPr>
          <w:rFonts w:ascii="Times New Roman" w:hAnsi="Times New Roman" w:cs="Times New Roman"/>
          <w:lang w:val="pt-BR"/>
        </w:rPr>
        <w:t>este programa que é</w:t>
      </w:r>
      <w:r w:rsidRPr="008B66DC">
        <w:rPr>
          <w:rFonts w:ascii="Times New Roman" w:hAnsi="Times New Roman" w:cs="Times New Roman"/>
          <w:lang w:val="pt-BR"/>
        </w:rPr>
        <w:t xml:space="preserve"> conduzido pela Universidade Petrobras, complementando o disposto no padrão PP-1PBR-00228 - Orientações para o Processo Gerir Desenvolvimento de Recursos Humanos. </w:t>
      </w:r>
      <w:r w:rsidR="005C677F" w:rsidRPr="008B66DC">
        <w:rPr>
          <w:rFonts w:ascii="Times New Roman" w:hAnsi="Times New Roman" w:cs="Times New Roman"/>
          <w:lang w:val="pt-BR"/>
        </w:rPr>
        <w:t>Os empregados habilitados nesta formação que visa à capacitação e avaliação dos profissionais participantes no desempenho de atribuições na companhia, são destinados aos cargos no primeiro nível das carreiras de nível médio e superior.</w:t>
      </w:r>
    </w:p>
    <w:p w:rsidR="00B94273" w:rsidRPr="008B66DC" w:rsidRDefault="00ED6B38" w:rsidP="00236340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>O Programa de Formação é aplicado para todas as carreiras da Petrobras, e a sua realização</w:t>
      </w:r>
      <w:r w:rsidR="005C677F" w:rsidRPr="008B66DC">
        <w:rPr>
          <w:rFonts w:ascii="Times New Roman" w:hAnsi="Times New Roman" w:cs="Times New Roman"/>
          <w:lang w:val="pt-BR"/>
        </w:rPr>
        <w:t>,</w:t>
      </w:r>
      <w:r w:rsidRPr="008B66DC">
        <w:rPr>
          <w:rFonts w:ascii="Times New Roman" w:hAnsi="Times New Roman" w:cs="Times New Roman"/>
          <w:lang w:val="pt-BR"/>
        </w:rPr>
        <w:t xml:space="preserve"> deverá ser identificada com base na consolidação das demandas de pessoal para cargos de todas as unidades da Companhia. </w:t>
      </w:r>
    </w:p>
    <w:p w:rsidR="00B94273" w:rsidRPr="008B66DC" w:rsidRDefault="00ED6B38" w:rsidP="00236340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>Os critérios de avaliação são estabelecidos de modo a:</w:t>
      </w:r>
    </w:p>
    <w:p w:rsidR="00B94273" w:rsidRPr="008B66DC" w:rsidRDefault="00ED6B38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>Avaliar o grau de aproveitamento nas disciplinas;</w:t>
      </w:r>
    </w:p>
    <w:p w:rsidR="00B94273" w:rsidRPr="008B66DC" w:rsidRDefault="00B94273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>A</w:t>
      </w:r>
      <w:r w:rsidR="00ED6B38" w:rsidRPr="008B66DC">
        <w:rPr>
          <w:rFonts w:ascii="Times New Roman" w:hAnsi="Times New Roman" w:cs="Times New Roman"/>
          <w:szCs w:val="24"/>
          <w:lang w:val="pt-BR"/>
        </w:rPr>
        <w:t>valiar a adequação do comportamento e perfil às necessidades da Petrobras;</w:t>
      </w:r>
    </w:p>
    <w:p w:rsidR="00B94273" w:rsidRPr="008B66DC" w:rsidRDefault="00ED6B38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 xml:space="preserve">Estabelecer a classificação no </w:t>
      </w:r>
      <w:r w:rsidR="005C677F" w:rsidRPr="008B66DC">
        <w:rPr>
          <w:rFonts w:ascii="Times New Roman" w:hAnsi="Times New Roman" w:cs="Times New Roman"/>
          <w:szCs w:val="24"/>
          <w:lang w:val="pt-BR"/>
        </w:rPr>
        <w:t>p</w:t>
      </w:r>
      <w:r w:rsidRPr="008B66DC">
        <w:rPr>
          <w:rFonts w:ascii="Times New Roman" w:hAnsi="Times New Roman" w:cs="Times New Roman"/>
          <w:szCs w:val="24"/>
          <w:lang w:val="pt-BR"/>
        </w:rPr>
        <w:t xml:space="preserve">rograma de </w:t>
      </w:r>
      <w:r w:rsidR="005C677F" w:rsidRPr="008B66DC">
        <w:rPr>
          <w:rFonts w:ascii="Times New Roman" w:hAnsi="Times New Roman" w:cs="Times New Roman"/>
          <w:szCs w:val="24"/>
          <w:lang w:val="pt-BR"/>
        </w:rPr>
        <w:t>f</w:t>
      </w:r>
      <w:r w:rsidRPr="008B66DC">
        <w:rPr>
          <w:rFonts w:ascii="Times New Roman" w:hAnsi="Times New Roman" w:cs="Times New Roman"/>
          <w:szCs w:val="24"/>
          <w:lang w:val="pt-BR"/>
        </w:rPr>
        <w:t>ormação;</w:t>
      </w:r>
    </w:p>
    <w:p w:rsidR="00B94273" w:rsidRPr="008B66DC" w:rsidRDefault="00ED6B38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 xml:space="preserve">Definir o desligamento do </w:t>
      </w:r>
      <w:r w:rsidR="005C677F" w:rsidRPr="008B66DC">
        <w:rPr>
          <w:rFonts w:ascii="Times New Roman" w:hAnsi="Times New Roman" w:cs="Times New Roman"/>
          <w:szCs w:val="24"/>
          <w:lang w:val="pt-BR"/>
        </w:rPr>
        <w:t>p</w:t>
      </w:r>
      <w:r w:rsidRPr="008B66DC">
        <w:rPr>
          <w:rFonts w:ascii="Times New Roman" w:hAnsi="Times New Roman" w:cs="Times New Roman"/>
          <w:szCs w:val="24"/>
          <w:lang w:val="pt-BR"/>
        </w:rPr>
        <w:t xml:space="preserve">rograma de </w:t>
      </w:r>
      <w:r w:rsidR="005C677F" w:rsidRPr="008B66DC">
        <w:rPr>
          <w:rFonts w:ascii="Times New Roman" w:hAnsi="Times New Roman" w:cs="Times New Roman"/>
          <w:szCs w:val="24"/>
          <w:lang w:val="pt-BR"/>
        </w:rPr>
        <w:t>f</w:t>
      </w:r>
      <w:r w:rsidRPr="008B66DC">
        <w:rPr>
          <w:rFonts w:ascii="Times New Roman" w:hAnsi="Times New Roman" w:cs="Times New Roman"/>
          <w:szCs w:val="24"/>
          <w:lang w:val="pt-BR"/>
        </w:rPr>
        <w:t xml:space="preserve">ormação; </w:t>
      </w:r>
    </w:p>
    <w:p w:rsidR="00B94273" w:rsidRPr="008B66DC" w:rsidRDefault="00ED6B38" w:rsidP="00236340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="Times New Roman" w:hAnsi="Times New Roman" w:cs="Times New Roman"/>
          <w:szCs w:val="24"/>
          <w:lang w:val="pt-BR"/>
        </w:rPr>
      </w:pPr>
      <w:r w:rsidRPr="008B66DC">
        <w:rPr>
          <w:rFonts w:ascii="Times New Roman" w:hAnsi="Times New Roman" w:cs="Times New Roman"/>
          <w:szCs w:val="24"/>
          <w:lang w:val="pt-BR"/>
        </w:rPr>
        <w:t xml:space="preserve">Definir a manutenção do vínculo empregatício. </w:t>
      </w:r>
    </w:p>
    <w:p w:rsidR="00B94273" w:rsidRPr="008B66DC" w:rsidRDefault="00ED6B38" w:rsidP="00236340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lastRenderedPageBreak/>
        <w:t>De posse dessas informações</w:t>
      </w:r>
      <w:r w:rsidR="00BC3D7D" w:rsidRPr="008B66DC">
        <w:rPr>
          <w:rFonts w:ascii="Times New Roman" w:hAnsi="Times New Roman" w:cs="Times New Roman"/>
          <w:lang w:val="pt-BR"/>
        </w:rPr>
        <w:t>,</w:t>
      </w:r>
      <w:r w:rsidRPr="008B66DC">
        <w:rPr>
          <w:rFonts w:ascii="Times New Roman" w:hAnsi="Times New Roman" w:cs="Times New Roman"/>
          <w:lang w:val="pt-BR"/>
        </w:rPr>
        <w:t xml:space="preserve"> podemos concluir que</w:t>
      </w:r>
      <w:r w:rsidR="00BC3D7D" w:rsidRPr="008B66DC">
        <w:rPr>
          <w:rFonts w:ascii="Times New Roman" w:hAnsi="Times New Roman" w:cs="Times New Roman"/>
          <w:lang w:val="pt-BR"/>
        </w:rPr>
        <w:t>, em umcenário ideal,</w:t>
      </w:r>
      <w:r w:rsidRPr="008B66DC">
        <w:rPr>
          <w:rFonts w:ascii="Times New Roman" w:hAnsi="Times New Roman" w:cs="Times New Roman"/>
          <w:lang w:val="pt-BR"/>
        </w:rPr>
        <w:t xml:space="preserve"> as disciplinasrelativas a</w:t>
      </w:r>
      <w:r w:rsidR="00BC3D7D" w:rsidRPr="008B66DC">
        <w:rPr>
          <w:rFonts w:ascii="Times New Roman" w:hAnsi="Times New Roman" w:cs="Times New Roman"/>
          <w:lang w:val="pt-BR"/>
        </w:rPr>
        <w:t>segurança de processos</w:t>
      </w:r>
      <w:r w:rsidRPr="008B66DC">
        <w:rPr>
          <w:rFonts w:ascii="Times New Roman" w:hAnsi="Times New Roman" w:cs="Times New Roman"/>
          <w:lang w:val="pt-BR"/>
        </w:rPr>
        <w:t xml:space="preserve"> estar</w:t>
      </w:r>
      <w:r w:rsidR="00BC3D7D" w:rsidRPr="008B66DC">
        <w:rPr>
          <w:rFonts w:ascii="Times New Roman" w:hAnsi="Times New Roman" w:cs="Times New Roman"/>
          <w:lang w:val="pt-BR"/>
        </w:rPr>
        <w:t>iaminseridas nas</w:t>
      </w:r>
      <w:r w:rsidRPr="008B66DC">
        <w:rPr>
          <w:rFonts w:ascii="Times New Roman" w:hAnsi="Times New Roman" w:cs="Times New Roman"/>
          <w:lang w:val="pt-BR"/>
        </w:rPr>
        <w:t xml:space="preserve"> disciplinas técnicas ou</w:t>
      </w:r>
      <w:r w:rsidR="00BC3D7D" w:rsidRPr="008B66DC">
        <w:rPr>
          <w:rFonts w:ascii="Times New Roman" w:hAnsi="Times New Roman" w:cs="Times New Roman"/>
          <w:lang w:val="pt-BR"/>
        </w:rPr>
        <w:t xml:space="preserve">, ainda, </w:t>
      </w:r>
      <w:r w:rsidRPr="008B66DC">
        <w:rPr>
          <w:rFonts w:ascii="Times New Roman" w:hAnsi="Times New Roman" w:cs="Times New Roman"/>
          <w:lang w:val="pt-BR"/>
        </w:rPr>
        <w:t>ser</w:t>
      </w:r>
      <w:r w:rsidR="00BC3D7D" w:rsidRPr="008B66DC">
        <w:rPr>
          <w:rFonts w:ascii="Times New Roman" w:hAnsi="Times New Roman" w:cs="Times New Roman"/>
          <w:lang w:val="pt-BR"/>
        </w:rPr>
        <w:t>iam</w:t>
      </w:r>
      <w:r w:rsidRPr="008B66DC">
        <w:rPr>
          <w:rFonts w:ascii="Times New Roman" w:hAnsi="Times New Roman" w:cs="Times New Roman"/>
          <w:lang w:val="pt-BR"/>
        </w:rPr>
        <w:t xml:space="preserve"> ministradas </w:t>
      </w:r>
      <w:r w:rsidR="00BC3D7D" w:rsidRPr="008B66DC">
        <w:rPr>
          <w:rFonts w:ascii="Times New Roman" w:hAnsi="Times New Roman" w:cs="Times New Roman"/>
          <w:lang w:val="pt-BR"/>
        </w:rPr>
        <w:t>concomitantemente às</w:t>
      </w:r>
      <w:r w:rsidRPr="008B66DC">
        <w:rPr>
          <w:rFonts w:ascii="Times New Roman" w:hAnsi="Times New Roman" w:cs="Times New Roman"/>
          <w:lang w:val="pt-BR"/>
        </w:rPr>
        <w:t xml:space="preserve"> disciplina</w:t>
      </w:r>
      <w:r w:rsidR="00BC3D7D" w:rsidRPr="008B66DC">
        <w:rPr>
          <w:rFonts w:ascii="Times New Roman" w:hAnsi="Times New Roman" w:cs="Times New Roman"/>
          <w:lang w:val="pt-BR"/>
        </w:rPr>
        <w:t>s</w:t>
      </w:r>
      <w:r w:rsidRPr="008B66DC">
        <w:rPr>
          <w:rFonts w:ascii="Times New Roman" w:hAnsi="Times New Roman" w:cs="Times New Roman"/>
          <w:lang w:val="pt-BR"/>
        </w:rPr>
        <w:t xml:space="preserve"> técnica</w:t>
      </w:r>
      <w:r w:rsidR="00BC3D7D" w:rsidRPr="008B66DC">
        <w:rPr>
          <w:rFonts w:ascii="Times New Roman" w:hAnsi="Times New Roman" w:cs="Times New Roman"/>
          <w:lang w:val="pt-BR"/>
        </w:rPr>
        <w:t>s. Não obstante,</w:t>
      </w:r>
      <w:r w:rsidRPr="008B66DC">
        <w:rPr>
          <w:rFonts w:ascii="Times New Roman" w:hAnsi="Times New Roman" w:cs="Times New Roman"/>
          <w:lang w:val="pt-BR"/>
        </w:rPr>
        <w:t xml:space="preserve"> es</w:t>
      </w:r>
      <w:r w:rsidR="00BC3D7D" w:rsidRPr="008B66DC">
        <w:rPr>
          <w:rFonts w:ascii="Times New Roman" w:hAnsi="Times New Roman" w:cs="Times New Roman"/>
          <w:lang w:val="pt-BR"/>
        </w:rPr>
        <w:t>te modelo de aprendizagem</w:t>
      </w:r>
      <w:r w:rsidRPr="008B66DC">
        <w:rPr>
          <w:rFonts w:ascii="Times New Roman" w:hAnsi="Times New Roman" w:cs="Times New Roman"/>
          <w:lang w:val="pt-BR"/>
        </w:rPr>
        <w:t xml:space="preserve"> ainda não é factível em função d</w:t>
      </w:r>
      <w:r w:rsidR="00BC3D7D" w:rsidRPr="008B66DC">
        <w:rPr>
          <w:rFonts w:ascii="Times New Roman" w:hAnsi="Times New Roman" w:cs="Times New Roman"/>
          <w:lang w:val="pt-BR"/>
        </w:rPr>
        <w:t xml:space="preserve">o pequeno número de profissionais da indústria especializados em SEPRO.Assim, </w:t>
      </w:r>
      <w:r w:rsidRPr="008B66DC">
        <w:rPr>
          <w:rFonts w:ascii="Times New Roman" w:hAnsi="Times New Roman" w:cs="Times New Roman"/>
          <w:lang w:val="pt-BR"/>
        </w:rPr>
        <w:t xml:space="preserve">os alunos </w:t>
      </w:r>
      <w:r w:rsidR="00BC3D7D" w:rsidRPr="008B66DC">
        <w:rPr>
          <w:rFonts w:ascii="Times New Roman" w:hAnsi="Times New Roman" w:cs="Times New Roman"/>
          <w:lang w:val="pt-BR"/>
        </w:rPr>
        <w:t xml:space="preserve">colaboradores </w:t>
      </w:r>
      <w:r w:rsidRPr="008B66DC">
        <w:rPr>
          <w:rFonts w:ascii="Times New Roman" w:hAnsi="Times New Roman" w:cs="Times New Roman"/>
          <w:lang w:val="pt-BR"/>
        </w:rPr>
        <w:t xml:space="preserve">deveriam ter aulas que complementasse a visão técnica com a visão </w:t>
      </w:r>
      <w:r w:rsidR="00BC3D7D" w:rsidRPr="008B66DC">
        <w:rPr>
          <w:rFonts w:ascii="Times New Roman" w:hAnsi="Times New Roman" w:cs="Times New Roman"/>
          <w:lang w:val="pt-BR"/>
        </w:rPr>
        <w:t>focada nos</w:t>
      </w:r>
      <w:r w:rsidRPr="008B66DC">
        <w:rPr>
          <w:rFonts w:ascii="Times New Roman" w:hAnsi="Times New Roman" w:cs="Times New Roman"/>
          <w:lang w:val="pt-BR"/>
        </w:rPr>
        <w:t xml:space="preserve"> cuidados previstos pela </w:t>
      </w:r>
      <w:r w:rsidR="00BC3D7D" w:rsidRPr="008B66DC">
        <w:rPr>
          <w:rFonts w:ascii="Times New Roman" w:hAnsi="Times New Roman" w:cs="Times New Roman"/>
          <w:lang w:val="pt-BR"/>
        </w:rPr>
        <w:t xml:space="preserve">abordagem </w:t>
      </w:r>
      <w:r w:rsidRPr="008B66DC">
        <w:rPr>
          <w:rFonts w:ascii="Times New Roman" w:hAnsi="Times New Roman" w:cs="Times New Roman"/>
          <w:lang w:val="pt-BR"/>
        </w:rPr>
        <w:t xml:space="preserve">SEPRO ao desenvolver </w:t>
      </w:r>
      <w:r w:rsidR="00BC3D7D" w:rsidRPr="008B66DC">
        <w:rPr>
          <w:rFonts w:ascii="Times New Roman" w:hAnsi="Times New Roman" w:cs="Times New Roman"/>
          <w:lang w:val="pt-BR"/>
        </w:rPr>
        <w:t xml:space="preserve">as </w:t>
      </w:r>
      <w:r w:rsidRPr="008B66DC">
        <w:rPr>
          <w:rFonts w:ascii="Times New Roman" w:hAnsi="Times New Roman" w:cs="Times New Roman"/>
          <w:lang w:val="pt-BR"/>
        </w:rPr>
        <w:t xml:space="preserve">atividades técnicas. </w:t>
      </w:r>
    </w:p>
    <w:p w:rsidR="00ED6B38" w:rsidRDefault="00ED6B38" w:rsidP="00236340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 xml:space="preserve">Esse cuidado inicial com os empregados novos seria o início da implantação de uma cultura de operar não só com foco </w:t>
      </w:r>
      <w:r w:rsidR="009A5FB9" w:rsidRPr="008B66DC">
        <w:rPr>
          <w:rFonts w:ascii="Times New Roman" w:hAnsi="Times New Roman" w:cs="Times New Roman"/>
          <w:lang w:val="pt-BR"/>
        </w:rPr>
        <w:t>em lucro e produtividade</w:t>
      </w:r>
      <w:r w:rsidRPr="008B66DC">
        <w:rPr>
          <w:rFonts w:ascii="Times New Roman" w:hAnsi="Times New Roman" w:cs="Times New Roman"/>
          <w:lang w:val="pt-BR"/>
        </w:rPr>
        <w:t xml:space="preserve">, mas também </w:t>
      </w:r>
      <w:r w:rsidR="009A5FB9" w:rsidRPr="008B66DC">
        <w:rPr>
          <w:rFonts w:ascii="Times New Roman" w:hAnsi="Times New Roman" w:cs="Times New Roman"/>
          <w:lang w:val="pt-BR"/>
        </w:rPr>
        <w:t xml:space="preserve">em </w:t>
      </w:r>
      <w:r w:rsidRPr="008B66DC">
        <w:rPr>
          <w:rFonts w:ascii="Times New Roman" w:hAnsi="Times New Roman" w:cs="Times New Roman"/>
          <w:lang w:val="pt-BR"/>
        </w:rPr>
        <w:t>agregar os cuidados com a segurança, que</w:t>
      </w:r>
      <w:r w:rsidR="009A5FB9" w:rsidRPr="008B66DC">
        <w:rPr>
          <w:rFonts w:ascii="Times New Roman" w:hAnsi="Times New Roman" w:cs="Times New Roman"/>
          <w:lang w:val="pt-BR"/>
        </w:rPr>
        <w:t xml:space="preserve">, em última instância, são refletidos em minimização de custos e aumento da disponibilidade da </w:t>
      </w:r>
      <w:proofErr w:type="gramStart"/>
      <w:r w:rsidR="009A5FB9" w:rsidRPr="008B66DC">
        <w:rPr>
          <w:rFonts w:ascii="Times New Roman" w:hAnsi="Times New Roman" w:cs="Times New Roman"/>
          <w:lang w:val="pt-BR"/>
        </w:rPr>
        <w:t>operação.</w:t>
      </w:r>
      <w:proofErr w:type="gramEnd"/>
      <w:r w:rsidR="009A5FB9" w:rsidRPr="008B66DC">
        <w:rPr>
          <w:rFonts w:ascii="Times New Roman" w:hAnsi="Times New Roman" w:cs="Times New Roman"/>
          <w:lang w:val="pt-BR"/>
        </w:rPr>
        <w:t>A inserção de conteúdos formativos relativos a segurança de processos nos cursos de formação de novos colaboradores poderia motivá-los a busca por formação continuada em cursos de extensão ou pós-graduação de SEPRO.</w:t>
      </w:r>
    </w:p>
    <w:p w:rsidR="00C90A26" w:rsidRPr="008B66DC" w:rsidRDefault="00C90A26" w:rsidP="00236340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 xml:space="preserve">O programa de formação de competência SEPRO da PETROBRAS, permanece forte e cada vez mais a empresa procura recursos externos para apoiar o mesmo, assim como toda as indústrias no </w:t>
      </w:r>
      <w:proofErr w:type="spellStart"/>
      <w:r>
        <w:rPr>
          <w:rFonts w:ascii="Times New Roman" w:hAnsi="Times New Roman" w:cs="Times New Roman"/>
          <w:lang w:val="pt-BR"/>
        </w:rPr>
        <w:t>Braisl</w:t>
      </w:r>
      <w:proofErr w:type="spellEnd"/>
      <w:r>
        <w:rPr>
          <w:rFonts w:ascii="Times New Roman" w:hAnsi="Times New Roman" w:cs="Times New Roman"/>
          <w:lang w:val="pt-BR"/>
        </w:rPr>
        <w:t xml:space="preserve">.  </w:t>
      </w:r>
    </w:p>
    <w:p w:rsidR="00C102C7" w:rsidRPr="008B66DC" w:rsidRDefault="00BA1837" w:rsidP="005665AA">
      <w:pPr>
        <w:pStyle w:val="PargrafodaLista"/>
        <w:numPr>
          <w:ilvl w:val="0"/>
          <w:numId w:val="14"/>
        </w:numPr>
        <w:autoSpaceDE w:val="0"/>
        <w:autoSpaceDN w:val="0"/>
        <w:adjustRightInd w:val="0"/>
        <w:spacing w:before="240"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8B66DC">
        <w:rPr>
          <w:rFonts w:ascii="Times New Roman" w:hAnsi="Times New Roman" w:cs="Times New Roman"/>
          <w:b/>
          <w:sz w:val="24"/>
          <w:szCs w:val="24"/>
          <w:lang w:val="pt-BR"/>
        </w:rPr>
        <w:t>CONCLUSÃO</w:t>
      </w:r>
    </w:p>
    <w:p w:rsidR="00A8069A" w:rsidRPr="008B66DC" w:rsidRDefault="00A8069A" w:rsidP="00236340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>Este trabalho discutiu a necessidade de capacitação de novos profissionais, tanto no nível de graduação, quanto de pós</w:t>
      </w:r>
      <w:r w:rsidR="006C0FBE" w:rsidRPr="008B66DC">
        <w:rPr>
          <w:rFonts w:ascii="Times New Roman" w:hAnsi="Times New Roman" w:cs="Times New Roman"/>
          <w:lang w:val="pt-BR"/>
        </w:rPr>
        <w:t>-</w:t>
      </w:r>
      <w:r w:rsidRPr="008B66DC">
        <w:rPr>
          <w:rFonts w:ascii="Times New Roman" w:hAnsi="Times New Roman" w:cs="Times New Roman"/>
          <w:lang w:val="pt-BR"/>
        </w:rPr>
        <w:t xml:space="preserve">graduação, para transpor a defasagem entre teoria e prática na segurança de processo. </w:t>
      </w:r>
      <w:r w:rsidR="00EE40C1" w:rsidRPr="008B66DC">
        <w:rPr>
          <w:rFonts w:ascii="Times New Roman" w:hAnsi="Times New Roman" w:cs="Times New Roman"/>
          <w:lang w:val="pt-BR"/>
        </w:rPr>
        <w:t xml:space="preserve">Enquanto a formação nos EUA avançou devido a iniciativa da AICHE de inserção </w:t>
      </w:r>
      <w:r w:rsidR="00B37FFD" w:rsidRPr="008B66DC">
        <w:rPr>
          <w:rFonts w:ascii="Times New Roman" w:hAnsi="Times New Roman" w:cs="Times New Roman"/>
          <w:lang w:val="pt-BR"/>
        </w:rPr>
        <w:t xml:space="preserve">de competências em segurança de processos </w:t>
      </w:r>
      <w:r w:rsidR="00EE40C1" w:rsidRPr="008B66DC">
        <w:rPr>
          <w:rFonts w:ascii="Times New Roman" w:hAnsi="Times New Roman" w:cs="Times New Roman"/>
          <w:lang w:val="pt-BR"/>
        </w:rPr>
        <w:t>nas grades curriculares, no Brasil ainda</w:t>
      </w:r>
      <w:r w:rsidR="00B37FFD" w:rsidRPr="008B66DC">
        <w:rPr>
          <w:rFonts w:ascii="Times New Roman" w:hAnsi="Times New Roman" w:cs="Times New Roman"/>
          <w:lang w:val="pt-BR"/>
        </w:rPr>
        <w:t xml:space="preserve"> não há um movimento acadêmico significativo para tornar SEPRO transversal à formação técnica do engenheiro nos cursos de graduação. A ABIQUIM tem realizado esforços junto às indústrias e colaborado com as instituições de ensino, entretanto a completa reestruturação das metodologias de ensino e aprendizagem, que darão oportunidade a inserção de capacidades técnicas relacionadas </w:t>
      </w:r>
      <w:r w:rsidR="003222BB" w:rsidRPr="008B66DC">
        <w:rPr>
          <w:rFonts w:ascii="Times New Roman" w:hAnsi="Times New Roman" w:cs="Times New Roman"/>
          <w:lang w:val="pt-BR"/>
        </w:rPr>
        <w:t>à</w:t>
      </w:r>
      <w:r w:rsidR="00B37FFD" w:rsidRPr="008B66DC">
        <w:rPr>
          <w:rFonts w:ascii="Times New Roman" w:hAnsi="Times New Roman" w:cs="Times New Roman"/>
          <w:lang w:val="pt-BR"/>
        </w:rPr>
        <w:t xml:space="preserve"> segurança de processos, encontra-se em um estágio </w:t>
      </w:r>
      <w:r w:rsidR="005C4C64">
        <w:rPr>
          <w:rFonts w:ascii="Times New Roman" w:hAnsi="Times New Roman" w:cs="Times New Roman"/>
          <w:lang w:val="pt-BR"/>
        </w:rPr>
        <w:t xml:space="preserve">ainda </w:t>
      </w:r>
      <w:r w:rsidR="00B37FFD" w:rsidRPr="008B66DC">
        <w:rPr>
          <w:rFonts w:ascii="Times New Roman" w:hAnsi="Times New Roman" w:cs="Times New Roman"/>
          <w:lang w:val="pt-BR"/>
        </w:rPr>
        <w:t>inicial.</w:t>
      </w:r>
    </w:p>
    <w:p w:rsidR="00B94273" w:rsidRPr="008B66DC" w:rsidRDefault="00802B22" w:rsidP="00236340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 xml:space="preserve">A capacitação em segurança de processosé transversal a </w:t>
      </w:r>
      <w:r w:rsidR="00B94273" w:rsidRPr="008B66DC">
        <w:rPr>
          <w:rFonts w:ascii="Times New Roman" w:hAnsi="Times New Roman" w:cs="Times New Roman"/>
          <w:lang w:val="pt-BR"/>
        </w:rPr>
        <w:t>todas as especialidades ligadas a operação, inspeção e manutenção de uma planta de process</w:t>
      </w:r>
      <w:r w:rsidRPr="008B66DC">
        <w:rPr>
          <w:rFonts w:ascii="Times New Roman" w:hAnsi="Times New Roman" w:cs="Times New Roman"/>
          <w:lang w:val="pt-BR"/>
        </w:rPr>
        <w:t xml:space="preserve">amento. Aformação </w:t>
      </w:r>
      <w:r w:rsidR="00B94273" w:rsidRPr="008B66DC">
        <w:rPr>
          <w:rFonts w:ascii="Times New Roman" w:hAnsi="Times New Roman" w:cs="Times New Roman"/>
          <w:lang w:val="pt-BR"/>
        </w:rPr>
        <w:t xml:space="preserve">deve ser iniciada junto com a carreira do profissional, cabendo a indústria se estruturar para considerar </w:t>
      </w:r>
      <w:r w:rsidRPr="008B66DC">
        <w:rPr>
          <w:rFonts w:ascii="Times New Roman" w:hAnsi="Times New Roman" w:cs="Times New Roman"/>
          <w:lang w:val="pt-BR"/>
        </w:rPr>
        <w:t xml:space="preserve">a </w:t>
      </w:r>
      <w:r w:rsidR="00B94273" w:rsidRPr="008B66DC">
        <w:rPr>
          <w:rFonts w:ascii="Times New Roman" w:hAnsi="Times New Roman" w:cs="Times New Roman"/>
          <w:lang w:val="pt-BR"/>
        </w:rPr>
        <w:t>segurança um fator preponderante</w:t>
      </w:r>
      <w:r w:rsidR="00E71677" w:rsidRPr="008B66DC">
        <w:rPr>
          <w:rFonts w:ascii="Times New Roman" w:hAnsi="Times New Roman" w:cs="Times New Roman"/>
          <w:lang w:val="pt-BR"/>
        </w:rPr>
        <w:t xml:space="preserve"> na direção de</w:t>
      </w:r>
      <w:r w:rsidR="00B94273" w:rsidRPr="008B66DC">
        <w:rPr>
          <w:rFonts w:ascii="Times New Roman" w:hAnsi="Times New Roman" w:cs="Times New Roman"/>
          <w:lang w:val="pt-BR"/>
        </w:rPr>
        <w:t xml:space="preserve"> obter resultados e metas operacionais constantes e sustentáveis, capaz de garantir a permanência de companhia no mercado e preservar a sua imagem </w:t>
      </w:r>
      <w:r w:rsidR="005C4C64">
        <w:rPr>
          <w:rFonts w:ascii="Times New Roman" w:hAnsi="Times New Roman" w:cs="Times New Roman"/>
          <w:lang w:val="pt-BR"/>
        </w:rPr>
        <w:t xml:space="preserve">e sustentabilidade do seu negócio junto aos seus acionistas e </w:t>
      </w:r>
      <w:r w:rsidR="00B94273" w:rsidRPr="008B66DC">
        <w:rPr>
          <w:rFonts w:ascii="Times New Roman" w:hAnsi="Times New Roman" w:cs="Times New Roman"/>
          <w:lang w:val="pt-BR"/>
        </w:rPr>
        <w:t xml:space="preserve">junto à opinião pública. </w:t>
      </w:r>
    </w:p>
    <w:p w:rsidR="00B94273" w:rsidRPr="008B66DC" w:rsidRDefault="00B94273" w:rsidP="00236340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 xml:space="preserve">Os cursos de formação em SEPRO são ferramentas para acelerar o processo de </w:t>
      </w:r>
      <w:r w:rsidR="00E71677" w:rsidRPr="008B66DC">
        <w:rPr>
          <w:rFonts w:ascii="Times New Roman" w:hAnsi="Times New Roman" w:cs="Times New Roman"/>
          <w:lang w:val="pt-BR"/>
        </w:rPr>
        <w:t xml:space="preserve">difusão </w:t>
      </w:r>
      <w:r w:rsidRPr="008B66DC">
        <w:rPr>
          <w:rFonts w:ascii="Times New Roman" w:hAnsi="Times New Roman" w:cs="Times New Roman"/>
          <w:lang w:val="pt-BR"/>
        </w:rPr>
        <w:t xml:space="preserve">de conhecimento específico, acumulado por muitos profissionais ao longo de anos de experiência e capacitação, permitindo que esses novos profissionais </w:t>
      </w:r>
      <w:r w:rsidR="00E71677" w:rsidRPr="008B66DC">
        <w:rPr>
          <w:rFonts w:ascii="Times New Roman" w:hAnsi="Times New Roman" w:cs="Times New Roman"/>
          <w:lang w:val="pt-BR"/>
        </w:rPr>
        <w:t xml:space="preserve">iniciem a sua trajetória </w:t>
      </w:r>
      <w:r w:rsidRPr="008B66DC">
        <w:rPr>
          <w:rFonts w:ascii="Times New Roman" w:hAnsi="Times New Roman" w:cs="Times New Roman"/>
          <w:lang w:val="pt-BR"/>
        </w:rPr>
        <w:t xml:space="preserve">com um nível de conhecimento que permita acesso mais </w:t>
      </w:r>
      <w:r w:rsidR="00D868FF" w:rsidRPr="008B66DC">
        <w:rPr>
          <w:rFonts w:ascii="Times New Roman" w:hAnsi="Times New Roman" w:cs="Times New Roman"/>
          <w:lang w:val="pt-BR"/>
        </w:rPr>
        <w:t>qualificado n</w:t>
      </w:r>
      <w:r w:rsidRPr="008B66DC">
        <w:rPr>
          <w:rFonts w:ascii="Times New Roman" w:hAnsi="Times New Roman" w:cs="Times New Roman"/>
          <w:lang w:val="pt-BR"/>
        </w:rPr>
        <w:t>o mercado de trabalho, com ganho de tempo em relação ao que vinha sendo praticado no passado e compatível com as demandas atuais do mercado.</w:t>
      </w:r>
    </w:p>
    <w:p w:rsidR="00711E18" w:rsidRPr="008B66DC" w:rsidRDefault="00D868FF" w:rsidP="00236340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 xml:space="preserve">Para garantir uma qualificação adequada em </w:t>
      </w:r>
      <w:r w:rsidR="00F50244" w:rsidRPr="008B66DC">
        <w:rPr>
          <w:rFonts w:ascii="Times New Roman" w:hAnsi="Times New Roman" w:cs="Times New Roman"/>
          <w:lang w:val="pt-BR"/>
        </w:rPr>
        <w:t>SEPRO</w:t>
      </w:r>
      <w:r w:rsidRPr="008B66DC">
        <w:rPr>
          <w:rFonts w:ascii="Times New Roman" w:hAnsi="Times New Roman" w:cs="Times New Roman"/>
          <w:lang w:val="pt-BR"/>
        </w:rPr>
        <w:t xml:space="preserve"> nos cursos de graduação de engenharia química, os autores entendem que o modelo </w:t>
      </w:r>
      <w:r w:rsidR="005C4C64">
        <w:rPr>
          <w:rFonts w:ascii="Times New Roman" w:hAnsi="Times New Roman" w:cs="Times New Roman"/>
          <w:lang w:val="pt-BR"/>
        </w:rPr>
        <w:t>usado n</w:t>
      </w:r>
      <w:r w:rsidRPr="008B66DC">
        <w:rPr>
          <w:rFonts w:ascii="Times New Roman" w:hAnsi="Times New Roman" w:cs="Times New Roman"/>
          <w:lang w:val="pt-BR"/>
        </w:rPr>
        <w:t>os EUA com a certificação da ABET deve ser seguido no Brasil pelo CREA-CONFEA. A nível de pós</w:t>
      </w:r>
      <w:r w:rsidR="006C0FBE" w:rsidRPr="008B66DC">
        <w:rPr>
          <w:rFonts w:ascii="Times New Roman" w:hAnsi="Times New Roman" w:cs="Times New Roman"/>
          <w:lang w:val="pt-BR"/>
        </w:rPr>
        <w:t>-</w:t>
      </w:r>
      <w:r w:rsidRPr="008B66DC">
        <w:rPr>
          <w:rFonts w:ascii="Times New Roman" w:hAnsi="Times New Roman" w:cs="Times New Roman"/>
          <w:lang w:val="pt-BR"/>
        </w:rPr>
        <w:t xml:space="preserve">graduação é altamente desejável também uma certificação em </w:t>
      </w:r>
      <w:r w:rsidR="00F50244" w:rsidRPr="008B66DC">
        <w:rPr>
          <w:rFonts w:ascii="Times New Roman" w:hAnsi="Times New Roman" w:cs="Times New Roman"/>
          <w:lang w:val="pt-BR"/>
        </w:rPr>
        <w:t>SEPRO</w:t>
      </w:r>
      <w:r w:rsidRPr="008B66DC">
        <w:rPr>
          <w:rFonts w:ascii="Times New Roman" w:hAnsi="Times New Roman" w:cs="Times New Roman"/>
          <w:lang w:val="pt-BR"/>
        </w:rPr>
        <w:t xml:space="preserve"> nos moldes da certificação em Engenharia de Segurança do Trabalho. </w:t>
      </w:r>
    </w:p>
    <w:p w:rsidR="00271A86" w:rsidRPr="008B66DC" w:rsidRDefault="00D42FC0" w:rsidP="005665AA">
      <w:pPr>
        <w:pStyle w:val="PargrafodaLista"/>
        <w:numPr>
          <w:ilvl w:val="0"/>
          <w:numId w:val="14"/>
        </w:numPr>
        <w:autoSpaceDE w:val="0"/>
        <w:autoSpaceDN w:val="0"/>
        <w:adjustRightInd w:val="0"/>
        <w:spacing w:before="240"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8B66DC">
        <w:rPr>
          <w:rFonts w:ascii="Times New Roman" w:hAnsi="Times New Roman" w:cs="Times New Roman"/>
          <w:b/>
          <w:sz w:val="24"/>
          <w:szCs w:val="24"/>
          <w:lang w:val="pt-BR"/>
        </w:rPr>
        <w:t>REFER</w:t>
      </w:r>
      <w:r w:rsidR="00353784" w:rsidRPr="008B66DC">
        <w:rPr>
          <w:rFonts w:ascii="Times New Roman" w:hAnsi="Times New Roman" w:cs="Times New Roman"/>
          <w:b/>
          <w:sz w:val="24"/>
          <w:szCs w:val="24"/>
          <w:lang w:val="pt-BR"/>
        </w:rPr>
        <w:t>ÊNCIAS</w:t>
      </w:r>
    </w:p>
    <w:p w:rsidR="004A4AE2" w:rsidRPr="008B66DC" w:rsidRDefault="004A4AE2" w:rsidP="006415E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bookmarkStart w:id="1" w:name="_Hlk24305611"/>
      <w:r w:rsidRPr="008B66DC">
        <w:rPr>
          <w:rFonts w:ascii="Times New Roman" w:hAnsi="Times New Roman" w:cs="Times New Roman"/>
        </w:rPr>
        <w:t>[1]</w:t>
      </w:r>
      <w:r w:rsidR="006415E9" w:rsidRPr="008B66DC">
        <w:rPr>
          <w:rFonts w:ascii="Times New Roman" w:hAnsi="Times New Roman" w:cs="Times New Roman"/>
        </w:rPr>
        <w:t xml:space="preserve"> CCPS - </w:t>
      </w:r>
      <w:r w:rsidR="006415E9" w:rsidRPr="008B66DC">
        <w:rPr>
          <w:rFonts w:ascii="Times New Roman" w:hAnsi="Times New Roman" w:cs="Times New Roman"/>
          <w:i/>
        </w:rPr>
        <w:t xml:space="preserve">Chemical Center for Process Safety. </w:t>
      </w:r>
      <w:r w:rsidR="006415E9" w:rsidRPr="008B66DC">
        <w:rPr>
          <w:rFonts w:ascii="Times New Roman" w:hAnsi="Times New Roman" w:cs="Times New Roman"/>
          <w:lang w:val="pt-BR"/>
        </w:rPr>
        <w:t>Disponível em &lt;</w:t>
      </w:r>
      <w:r w:rsidRPr="008B66DC">
        <w:rPr>
          <w:rFonts w:ascii="Times New Roman" w:hAnsi="Times New Roman" w:cs="Times New Roman"/>
          <w:lang w:val="pt-BR"/>
        </w:rPr>
        <w:t>https://www.aiche.org/ccps</w:t>
      </w:r>
      <w:r w:rsidR="006415E9" w:rsidRPr="008B66DC">
        <w:rPr>
          <w:rFonts w:ascii="Times New Roman" w:hAnsi="Times New Roman" w:cs="Times New Roman"/>
          <w:lang w:val="pt-BR"/>
        </w:rPr>
        <w:t>&gt;</w:t>
      </w:r>
      <w:r w:rsidR="00EE5C38" w:rsidRPr="008B66DC">
        <w:rPr>
          <w:rFonts w:ascii="Times New Roman" w:hAnsi="Times New Roman" w:cs="Times New Roman"/>
          <w:lang w:val="pt-BR"/>
        </w:rPr>
        <w:t>.</w:t>
      </w:r>
      <w:proofErr w:type="spellStart"/>
      <w:r w:rsidR="006415E9" w:rsidRPr="008B66DC">
        <w:rPr>
          <w:rFonts w:ascii="Times New Roman" w:hAnsi="Times New Roman" w:cs="Times New Roman"/>
        </w:rPr>
        <w:t>Acessoem</w:t>
      </w:r>
      <w:proofErr w:type="spellEnd"/>
      <w:r w:rsidR="006415E9" w:rsidRPr="008B66DC">
        <w:rPr>
          <w:rFonts w:ascii="Times New Roman" w:hAnsi="Times New Roman" w:cs="Times New Roman"/>
        </w:rPr>
        <w:t xml:space="preserve"> 29 de </w:t>
      </w:r>
      <w:proofErr w:type="spellStart"/>
      <w:r w:rsidR="006415E9" w:rsidRPr="008B66DC">
        <w:rPr>
          <w:rFonts w:ascii="Times New Roman" w:hAnsi="Times New Roman" w:cs="Times New Roman"/>
        </w:rPr>
        <w:t>julho</w:t>
      </w:r>
      <w:proofErr w:type="spellEnd"/>
      <w:r w:rsidR="006415E9" w:rsidRPr="008B66DC">
        <w:rPr>
          <w:rFonts w:ascii="Times New Roman" w:hAnsi="Times New Roman" w:cs="Times New Roman"/>
        </w:rPr>
        <w:t xml:space="preserve"> de 2019.</w:t>
      </w:r>
    </w:p>
    <w:p w:rsidR="00FE39A7" w:rsidRPr="008B66DC" w:rsidRDefault="00FE39A7" w:rsidP="003E692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</w:rPr>
        <w:lastRenderedPageBreak/>
        <w:t>[</w:t>
      </w:r>
      <w:r w:rsidR="003E6924" w:rsidRPr="008B66DC">
        <w:rPr>
          <w:rFonts w:ascii="Times New Roman" w:hAnsi="Times New Roman" w:cs="Times New Roman"/>
        </w:rPr>
        <w:t>2</w:t>
      </w:r>
      <w:r w:rsidRPr="008B66DC">
        <w:rPr>
          <w:rFonts w:ascii="Times New Roman" w:hAnsi="Times New Roman" w:cs="Times New Roman"/>
        </w:rPr>
        <w:t xml:space="preserve">] SHU, Y.; MING, L.; CHENG, F.; ZHANG, Z.; ZHAO, J. Abnormal situation management: Challenges and opportunities in the big data era. </w:t>
      </w:r>
      <w:proofErr w:type="spellStart"/>
      <w:r w:rsidRPr="008B66DC">
        <w:rPr>
          <w:rFonts w:ascii="Times New Roman" w:hAnsi="Times New Roman" w:cs="Times New Roman"/>
          <w:lang w:val="pt-BR"/>
        </w:rPr>
        <w:t>ComputersandChemicalEngineering</w:t>
      </w:r>
      <w:proofErr w:type="spellEnd"/>
      <w:r w:rsidRPr="008B66DC">
        <w:rPr>
          <w:rFonts w:ascii="Times New Roman" w:hAnsi="Times New Roman" w:cs="Times New Roman"/>
          <w:lang w:val="pt-BR"/>
        </w:rPr>
        <w:t>, volume 91. ELSEVIER, 2016.</w:t>
      </w:r>
    </w:p>
    <w:p w:rsidR="004A4AE2" w:rsidRPr="008B66DC" w:rsidRDefault="004A4AE2" w:rsidP="006415E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>[</w:t>
      </w:r>
      <w:r w:rsidR="00956159" w:rsidRPr="008B66DC">
        <w:rPr>
          <w:rFonts w:ascii="Times New Roman" w:hAnsi="Times New Roman" w:cs="Times New Roman"/>
          <w:lang w:val="pt-BR"/>
        </w:rPr>
        <w:t>3</w:t>
      </w:r>
      <w:r w:rsidRPr="008B66DC">
        <w:rPr>
          <w:rFonts w:ascii="Times New Roman" w:hAnsi="Times New Roman" w:cs="Times New Roman"/>
          <w:lang w:val="pt-BR"/>
        </w:rPr>
        <w:t xml:space="preserve">] </w:t>
      </w:r>
      <w:r w:rsidR="006415E9" w:rsidRPr="008B66DC">
        <w:rPr>
          <w:rFonts w:ascii="Times New Roman" w:hAnsi="Times New Roman" w:cs="Times New Roman"/>
          <w:lang w:val="pt-BR"/>
        </w:rPr>
        <w:t xml:space="preserve">MOREIRA, </w:t>
      </w:r>
      <w:r w:rsidR="00EE5C38" w:rsidRPr="008B66DC">
        <w:rPr>
          <w:rFonts w:ascii="Times New Roman" w:hAnsi="Times New Roman" w:cs="Times New Roman"/>
          <w:lang w:val="pt-BR"/>
        </w:rPr>
        <w:t>L.C.</w:t>
      </w:r>
      <w:r w:rsidR="006415E9" w:rsidRPr="008B66DC">
        <w:rPr>
          <w:rFonts w:ascii="Times New Roman" w:hAnsi="Times New Roman" w:cs="Times New Roman"/>
          <w:lang w:val="pt-BR"/>
        </w:rPr>
        <w:t xml:space="preserve">; VAZ JUNIOR, </w:t>
      </w:r>
      <w:r w:rsidR="00EE5C38" w:rsidRPr="008B66DC">
        <w:rPr>
          <w:rFonts w:ascii="Times New Roman" w:hAnsi="Times New Roman" w:cs="Times New Roman"/>
          <w:lang w:val="pt-BR"/>
        </w:rPr>
        <w:t xml:space="preserve">C. A. Rumos para o ensino de segurança de processos nos cursos de graduação em engenharia química no brasil – uma visão preliminar. </w:t>
      </w:r>
      <w:r w:rsidR="006415E9" w:rsidRPr="008B66DC">
        <w:rPr>
          <w:rFonts w:ascii="Times New Roman" w:hAnsi="Times New Roman" w:cs="Times New Roman"/>
          <w:lang w:val="pt-BR"/>
        </w:rPr>
        <w:t>COBEQ IC</w:t>
      </w:r>
      <w:r w:rsidR="00EE5C38" w:rsidRPr="008B66DC">
        <w:rPr>
          <w:rFonts w:ascii="Times New Roman" w:hAnsi="Times New Roman" w:cs="Times New Roman"/>
          <w:lang w:val="pt-BR"/>
        </w:rPr>
        <w:t xml:space="preserve">, </w:t>
      </w:r>
      <w:r w:rsidRPr="008B66DC">
        <w:rPr>
          <w:rFonts w:ascii="Times New Roman" w:hAnsi="Times New Roman" w:cs="Times New Roman"/>
          <w:lang w:val="pt-BR"/>
        </w:rPr>
        <w:t>Campinas, São Paulo, 2015.</w:t>
      </w:r>
    </w:p>
    <w:p w:rsidR="004A4AE2" w:rsidRPr="008B66DC" w:rsidRDefault="004A4AE2" w:rsidP="006415E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  <w:lang w:val="pt-BR"/>
        </w:rPr>
        <w:t>[</w:t>
      </w:r>
      <w:r w:rsidR="00956159" w:rsidRPr="008B66DC">
        <w:rPr>
          <w:rFonts w:ascii="Times New Roman" w:hAnsi="Times New Roman" w:cs="Times New Roman"/>
          <w:lang w:val="pt-BR"/>
        </w:rPr>
        <w:t>4</w:t>
      </w:r>
      <w:r w:rsidRPr="008B66DC">
        <w:rPr>
          <w:rFonts w:ascii="Times New Roman" w:hAnsi="Times New Roman" w:cs="Times New Roman"/>
          <w:lang w:val="pt-BR"/>
        </w:rPr>
        <w:t>] PORTARIA INEP Nº 492 DE 6 DE JUNHO DE 2017. Publicada no Diário Oficial de 8 de junho de 2017, Seção 1, pág. 34.</w:t>
      </w:r>
    </w:p>
    <w:p w:rsidR="0089376B" w:rsidRPr="008B66DC" w:rsidRDefault="00956159" w:rsidP="006415E9">
      <w:pPr>
        <w:spacing w:after="120" w:line="240" w:lineRule="auto"/>
        <w:rPr>
          <w:rFonts w:ascii="Times New Roman" w:hAnsi="Times New Roman" w:cs="Times New Roman"/>
          <w:szCs w:val="24"/>
        </w:rPr>
      </w:pPr>
      <w:r w:rsidRPr="008B66DC">
        <w:rPr>
          <w:rFonts w:ascii="Times New Roman" w:hAnsi="Times New Roman" w:cs="Times New Roman"/>
          <w:szCs w:val="24"/>
        </w:rPr>
        <w:t>[5</w:t>
      </w:r>
      <w:r w:rsidR="004A4AE2" w:rsidRPr="008B66DC">
        <w:rPr>
          <w:rFonts w:ascii="Times New Roman" w:hAnsi="Times New Roman" w:cs="Times New Roman"/>
          <w:szCs w:val="24"/>
        </w:rPr>
        <w:t xml:space="preserve">] </w:t>
      </w:r>
      <w:r w:rsidR="00D31E1C" w:rsidRPr="008B66DC">
        <w:rPr>
          <w:rFonts w:ascii="Times New Roman" w:hAnsi="Times New Roman" w:cs="Times New Roman"/>
          <w:szCs w:val="24"/>
        </w:rPr>
        <w:t xml:space="preserve">DEE, S.J.; COX, B.L.; OGLE, R.A. </w:t>
      </w:r>
      <w:r w:rsidR="004A4AE2" w:rsidRPr="008B66DC">
        <w:rPr>
          <w:rFonts w:ascii="Times New Roman" w:hAnsi="Times New Roman" w:cs="Times New Roman"/>
          <w:szCs w:val="24"/>
        </w:rPr>
        <w:t>Process Safety in the Classroom: The Current State of Chemical Engineering Programs at US Universities</w:t>
      </w:r>
      <w:r w:rsidR="00D31E1C" w:rsidRPr="008B66DC">
        <w:rPr>
          <w:rFonts w:ascii="Times New Roman" w:hAnsi="Times New Roman" w:cs="Times New Roman"/>
          <w:szCs w:val="24"/>
        </w:rPr>
        <w:t xml:space="preserve">. </w:t>
      </w:r>
      <w:r w:rsidR="004A4AE2" w:rsidRPr="008B66DC">
        <w:rPr>
          <w:rFonts w:ascii="Times New Roman" w:hAnsi="Times New Roman" w:cs="Times New Roman"/>
          <w:szCs w:val="24"/>
        </w:rPr>
        <w:t>Published online 11 February 2015 in Wiley Online Library (wileyonlinelibrary.com).</w:t>
      </w:r>
    </w:p>
    <w:p w:rsidR="0089376B" w:rsidRPr="008B66DC" w:rsidRDefault="004A4AE2" w:rsidP="006415E9">
      <w:pPr>
        <w:spacing w:after="120" w:line="240" w:lineRule="auto"/>
        <w:rPr>
          <w:rFonts w:ascii="Times New Roman" w:hAnsi="Times New Roman" w:cs="Times New Roman"/>
        </w:rPr>
      </w:pPr>
      <w:r w:rsidRPr="008B66DC">
        <w:rPr>
          <w:rFonts w:ascii="Times New Roman" w:hAnsi="Times New Roman" w:cs="Times New Roman"/>
          <w:szCs w:val="24"/>
        </w:rPr>
        <w:t>[</w:t>
      </w:r>
      <w:r w:rsidR="00956159" w:rsidRPr="008B66DC">
        <w:rPr>
          <w:rFonts w:ascii="Times New Roman" w:hAnsi="Times New Roman" w:cs="Times New Roman"/>
          <w:szCs w:val="24"/>
        </w:rPr>
        <w:t>6</w:t>
      </w:r>
      <w:r w:rsidRPr="008B66DC">
        <w:rPr>
          <w:rFonts w:ascii="Times New Roman" w:hAnsi="Times New Roman" w:cs="Times New Roman"/>
          <w:szCs w:val="24"/>
        </w:rPr>
        <w:t xml:space="preserve">] </w:t>
      </w:r>
      <w:proofErr w:type="spellStart"/>
      <w:r w:rsidR="00D31E1C" w:rsidRPr="008B66DC">
        <w:rPr>
          <w:rFonts w:ascii="Times New Roman" w:hAnsi="Times New Roman" w:cs="Times New Roman"/>
          <w:szCs w:val="24"/>
        </w:rPr>
        <w:t>SAChE</w:t>
      </w:r>
      <w:proofErr w:type="spellEnd"/>
      <w:r w:rsidR="00D31E1C" w:rsidRPr="008B66DC">
        <w:rPr>
          <w:rFonts w:ascii="Times New Roman" w:hAnsi="Times New Roman" w:cs="Times New Roman"/>
          <w:szCs w:val="24"/>
        </w:rPr>
        <w:t xml:space="preserve"> – </w:t>
      </w:r>
      <w:r w:rsidR="00D31E1C" w:rsidRPr="008B66DC">
        <w:rPr>
          <w:rFonts w:ascii="Times New Roman" w:hAnsi="Times New Roman" w:cs="Times New Roman"/>
          <w:i/>
          <w:szCs w:val="24"/>
        </w:rPr>
        <w:t xml:space="preserve">Safety and Chemical Engineering Education. </w:t>
      </w:r>
      <w:r w:rsidR="00D31E1C" w:rsidRPr="008B66DC">
        <w:rPr>
          <w:rFonts w:ascii="Times New Roman" w:hAnsi="Times New Roman" w:cs="Times New Roman"/>
          <w:szCs w:val="24"/>
          <w:lang w:val="pt-BR"/>
        </w:rPr>
        <w:t>Disponível em &lt;</w:t>
      </w:r>
      <w:r w:rsidR="0089376B" w:rsidRPr="008B66DC">
        <w:rPr>
          <w:rFonts w:ascii="Times New Roman" w:hAnsi="Times New Roman" w:cs="Times New Roman"/>
          <w:lang w:val="pt-BR"/>
        </w:rPr>
        <w:t>https://www.aiche.org/ccps/community/technological-communities/safety-and-chemical-engineering-education-sache</w:t>
      </w:r>
      <w:r w:rsidR="00D31E1C" w:rsidRPr="008B66DC">
        <w:rPr>
          <w:rFonts w:ascii="Times New Roman" w:hAnsi="Times New Roman" w:cs="Times New Roman"/>
          <w:lang w:val="pt-BR"/>
        </w:rPr>
        <w:t>&gt;</w:t>
      </w:r>
      <w:r w:rsidR="0089376B" w:rsidRPr="008B66DC">
        <w:rPr>
          <w:rFonts w:ascii="Times New Roman" w:hAnsi="Times New Roman" w:cs="Times New Roman"/>
          <w:lang w:val="pt-BR"/>
        </w:rPr>
        <w:t xml:space="preserve">. </w:t>
      </w:r>
      <w:proofErr w:type="spellStart"/>
      <w:r w:rsidR="00D31E1C" w:rsidRPr="008B66DC">
        <w:rPr>
          <w:rFonts w:ascii="Times New Roman" w:hAnsi="Times New Roman" w:cs="Times New Roman"/>
        </w:rPr>
        <w:t>Acessoem</w:t>
      </w:r>
      <w:proofErr w:type="spellEnd"/>
      <w:r w:rsidR="00D31E1C" w:rsidRPr="008B66DC">
        <w:rPr>
          <w:rFonts w:ascii="Times New Roman" w:hAnsi="Times New Roman" w:cs="Times New Roman"/>
        </w:rPr>
        <w:t xml:space="preserve"> 15 de </w:t>
      </w:r>
      <w:proofErr w:type="spellStart"/>
      <w:r w:rsidR="00D31E1C" w:rsidRPr="008B66DC">
        <w:rPr>
          <w:rFonts w:ascii="Times New Roman" w:hAnsi="Times New Roman" w:cs="Times New Roman"/>
        </w:rPr>
        <w:t>setembro</w:t>
      </w:r>
      <w:proofErr w:type="spellEnd"/>
      <w:r w:rsidR="00D31E1C" w:rsidRPr="008B66DC">
        <w:rPr>
          <w:rFonts w:ascii="Times New Roman" w:hAnsi="Times New Roman" w:cs="Times New Roman"/>
        </w:rPr>
        <w:t xml:space="preserve"> de 2019.</w:t>
      </w:r>
    </w:p>
    <w:p w:rsidR="004A4AE2" w:rsidRPr="008B66DC" w:rsidRDefault="004A4AE2" w:rsidP="006415E9">
      <w:pPr>
        <w:spacing w:after="120" w:line="240" w:lineRule="auto"/>
        <w:rPr>
          <w:rFonts w:ascii="Times New Roman" w:hAnsi="Times New Roman" w:cs="Times New Roman"/>
          <w:szCs w:val="24"/>
        </w:rPr>
      </w:pPr>
      <w:r w:rsidRPr="008B66DC">
        <w:rPr>
          <w:rFonts w:ascii="Times New Roman" w:hAnsi="Times New Roman" w:cs="Times New Roman"/>
          <w:szCs w:val="24"/>
        </w:rPr>
        <w:t>[</w:t>
      </w:r>
      <w:r w:rsidR="00956159" w:rsidRPr="008B66DC">
        <w:rPr>
          <w:rFonts w:ascii="Times New Roman" w:hAnsi="Times New Roman" w:cs="Times New Roman"/>
          <w:szCs w:val="24"/>
        </w:rPr>
        <w:t>7</w:t>
      </w:r>
      <w:r w:rsidRPr="008B66DC">
        <w:rPr>
          <w:rFonts w:ascii="Times New Roman" w:hAnsi="Times New Roman" w:cs="Times New Roman"/>
          <w:szCs w:val="24"/>
        </w:rPr>
        <w:t xml:space="preserve">] </w:t>
      </w:r>
      <w:r w:rsidR="00271889" w:rsidRPr="008B66DC">
        <w:rPr>
          <w:rFonts w:ascii="Times New Roman" w:hAnsi="Times New Roman" w:cs="Times New Roman"/>
          <w:szCs w:val="24"/>
        </w:rPr>
        <w:t xml:space="preserve">BENINTENDI, R. </w:t>
      </w:r>
      <w:r w:rsidRPr="008B66DC">
        <w:rPr>
          <w:rFonts w:ascii="Times New Roman" w:hAnsi="Times New Roman" w:cs="Times New Roman"/>
          <w:szCs w:val="24"/>
        </w:rPr>
        <w:t>The bridge link between university and industry. A key factor for achieving high performance in process safety.</w:t>
      </w:r>
      <w:r w:rsidR="00271889" w:rsidRPr="008B66DC">
        <w:rPr>
          <w:rFonts w:ascii="Times New Roman" w:hAnsi="Times New Roman" w:cs="Times New Roman"/>
          <w:szCs w:val="24"/>
        </w:rPr>
        <w:t xml:space="preserve"> Education for Chemical Engineers, </w:t>
      </w:r>
      <w:r w:rsidR="009843AF" w:rsidRPr="008B66DC">
        <w:rPr>
          <w:rFonts w:ascii="Times New Roman" w:hAnsi="Times New Roman" w:cs="Times New Roman"/>
          <w:szCs w:val="24"/>
        </w:rPr>
        <w:t>v</w:t>
      </w:r>
      <w:r w:rsidR="00271889" w:rsidRPr="008B66DC">
        <w:rPr>
          <w:rFonts w:ascii="Times New Roman" w:hAnsi="Times New Roman" w:cs="Times New Roman"/>
          <w:szCs w:val="24"/>
        </w:rPr>
        <w:t>olume 15. ELSELVIER, 2016.</w:t>
      </w:r>
    </w:p>
    <w:p w:rsidR="004A4AE2" w:rsidRPr="008B66DC" w:rsidRDefault="004A4AE2" w:rsidP="006415E9">
      <w:pPr>
        <w:tabs>
          <w:tab w:val="left" w:pos="1348"/>
        </w:tabs>
        <w:spacing w:after="120" w:line="240" w:lineRule="auto"/>
        <w:rPr>
          <w:rFonts w:ascii="Times New Roman" w:hAnsi="Times New Roman" w:cs="Times New Roman"/>
          <w:szCs w:val="24"/>
        </w:rPr>
      </w:pPr>
      <w:r w:rsidRPr="008B66DC">
        <w:rPr>
          <w:rFonts w:ascii="Times New Roman" w:hAnsi="Times New Roman" w:cs="Times New Roman"/>
          <w:szCs w:val="24"/>
        </w:rPr>
        <w:t>[</w:t>
      </w:r>
      <w:r w:rsidR="00956159" w:rsidRPr="008B66DC">
        <w:rPr>
          <w:rFonts w:ascii="Times New Roman" w:hAnsi="Times New Roman" w:cs="Times New Roman"/>
          <w:szCs w:val="24"/>
        </w:rPr>
        <w:t>8</w:t>
      </w:r>
      <w:r w:rsidRPr="008B66DC">
        <w:rPr>
          <w:rFonts w:ascii="Times New Roman" w:hAnsi="Times New Roman" w:cs="Times New Roman"/>
          <w:szCs w:val="24"/>
        </w:rPr>
        <w:t>] Booklet on the ECCE 8’s special session on process and plant safety “Process Safety Competence – European Strength degrading to Weakness?”</w:t>
      </w:r>
      <w:r w:rsidR="009843AF" w:rsidRPr="008B66DC">
        <w:rPr>
          <w:rFonts w:ascii="Times New Roman" w:hAnsi="Times New Roman" w:cs="Times New Roman"/>
          <w:szCs w:val="24"/>
        </w:rPr>
        <w:t>.</w:t>
      </w:r>
      <w:r w:rsidRPr="008B66DC">
        <w:rPr>
          <w:rFonts w:ascii="Times New Roman" w:hAnsi="Times New Roman" w:cs="Times New Roman"/>
          <w:szCs w:val="24"/>
        </w:rPr>
        <w:t xml:space="preserve">© </w:t>
      </w:r>
      <w:proofErr w:type="spellStart"/>
      <w:r w:rsidRPr="008B66DC">
        <w:rPr>
          <w:rFonts w:ascii="Times New Roman" w:hAnsi="Times New Roman" w:cs="Times New Roman"/>
          <w:szCs w:val="24"/>
        </w:rPr>
        <w:t>Dechema</w:t>
      </w:r>
      <w:proofErr w:type="spellEnd"/>
      <w:r w:rsidRPr="008B66DC">
        <w:rPr>
          <w:rFonts w:ascii="Times New Roman" w:hAnsi="Times New Roman" w:cs="Times New Roman"/>
          <w:szCs w:val="24"/>
        </w:rPr>
        <w:t xml:space="preserve"> – 2012. </w:t>
      </w:r>
    </w:p>
    <w:p w:rsidR="004A4AE2" w:rsidRPr="008B66DC" w:rsidRDefault="004A4AE2" w:rsidP="006415E9">
      <w:pPr>
        <w:spacing w:after="120" w:line="240" w:lineRule="auto"/>
        <w:rPr>
          <w:rFonts w:ascii="Times New Roman" w:hAnsi="Times New Roman" w:cs="Times New Roman"/>
          <w:szCs w:val="24"/>
        </w:rPr>
      </w:pPr>
      <w:r w:rsidRPr="008B66DC">
        <w:rPr>
          <w:rFonts w:ascii="Times New Roman" w:hAnsi="Times New Roman" w:cs="Times New Roman"/>
          <w:szCs w:val="24"/>
        </w:rPr>
        <w:t>[</w:t>
      </w:r>
      <w:r w:rsidR="00956159" w:rsidRPr="008B66DC">
        <w:rPr>
          <w:rFonts w:ascii="Times New Roman" w:hAnsi="Times New Roman" w:cs="Times New Roman"/>
          <w:szCs w:val="24"/>
        </w:rPr>
        <w:t>9</w:t>
      </w:r>
      <w:r w:rsidRPr="008B66DC">
        <w:rPr>
          <w:rFonts w:ascii="Times New Roman" w:hAnsi="Times New Roman" w:cs="Times New Roman"/>
          <w:szCs w:val="24"/>
        </w:rPr>
        <w:t>]</w:t>
      </w:r>
      <w:r w:rsidR="009843AF" w:rsidRPr="008B66DC">
        <w:rPr>
          <w:rFonts w:ascii="Times New Roman" w:hAnsi="Times New Roman" w:cs="Times New Roman"/>
          <w:szCs w:val="24"/>
        </w:rPr>
        <w:t xml:space="preserve"> PERRIN, L.; GABAS, N.; CORRIOU, J.P.; LAURENT, A.</w:t>
      </w:r>
      <w:r w:rsidRPr="008B66DC">
        <w:rPr>
          <w:rFonts w:ascii="Times New Roman" w:hAnsi="Times New Roman" w:cs="Times New Roman"/>
          <w:szCs w:val="24"/>
        </w:rPr>
        <w:t xml:space="preserve"> Promoting safety teaching: An essential requirement for the chemical engineering education in the French universities. Journal of LossPreventionintheProcessIndustries,</w:t>
      </w:r>
      <w:r w:rsidR="009843AF" w:rsidRPr="008B66DC">
        <w:rPr>
          <w:rFonts w:ascii="Times New Roman" w:hAnsi="Times New Roman" w:cs="Times New Roman"/>
          <w:szCs w:val="24"/>
        </w:rPr>
        <w:t xml:space="preserve"> volume 54.</w:t>
      </w:r>
      <w:r w:rsidRPr="008B66DC">
        <w:rPr>
          <w:rFonts w:ascii="Times New Roman" w:hAnsi="Times New Roman" w:cs="Times New Roman"/>
          <w:szCs w:val="24"/>
        </w:rPr>
        <w:t xml:space="preserve"> Elsevier, 2018.</w:t>
      </w:r>
    </w:p>
    <w:p w:rsidR="004A4AE2" w:rsidRPr="008B66DC" w:rsidRDefault="004A4AE2" w:rsidP="004A4AE2">
      <w:pPr>
        <w:spacing w:line="240" w:lineRule="auto"/>
        <w:rPr>
          <w:rFonts w:ascii="Times New Roman" w:hAnsi="Times New Roman" w:cs="Times New Roman"/>
          <w:lang w:val="pt-BR"/>
        </w:rPr>
      </w:pPr>
      <w:r w:rsidRPr="008B66DC">
        <w:rPr>
          <w:rFonts w:ascii="Times New Roman" w:hAnsi="Times New Roman" w:cs="Times New Roman"/>
        </w:rPr>
        <w:t>[</w:t>
      </w:r>
      <w:r w:rsidR="00956159" w:rsidRPr="008B66DC">
        <w:rPr>
          <w:rFonts w:ascii="Times New Roman" w:hAnsi="Times New Roman" w:cs="Times New Roman"/>
        </w:rPr>
        <w:t>10</w:t>
      </w:r>
      <w:r w:rsidRPr="008B66DC">
        <w:rPr>
          <w:rFonts w:ascii="Times New Roman" w:hAnsi="Times New Roman" w:cs="Times New Roman"/>
        </w:rPr>
        <w:t>] S</w:t>
      </w:r>
      <w:r w:rsidR="009843AF" w:rsidRPr="008B66DC">
        <w:rPr>
          <w:rFonts w:ascii="Times New Roman" w:hAnsi="Times New Roman" w:cs="Times New Roman"/>
        </w:rPr>
        <w:t>CHMIDT</w:t>
      </w:r>
      <w:r w:rsidRPr="008B66DC">
        <w:rPr>
          <w:rFonts w:ascii="Times New Roman" w:hAnsi="Times New Roman" w:cs="Times New Roman"/>
        </w:rPr>
        <w:t>,J. Process and Plant Safety. Research &amp; Education Strategy to Keep Long Term Competencies</w:t>
      </w:r>
      <w:r w:rsidR="009843AF" w:rsidRPr="008B66DC">
        <w:rPr>
          <w:rFonts w:ascii="Times New Roman" w:hAnsi="Times New Roman" w:cs="Times New Roman"/>
        </w:rPr>
        <w:t xml:space="preserve">. </w:t>
      </w:r>
      <w:proofErr w:type="spellStart"/>
      <w:r w:rsidR="009843AF" w:rsidRPr="008B66DC">
        <w:rPr>
          <w:rFonts w:ascii="Times New Roman" w:hAnsi="Times New Roman" w:cs="Times New Roman"/>
          <w:lang w:val="pt-BR"/>
        </w:rPr>
        <w:t>ChemicalEngineeringTransactions</w:t>
      </w:r>
      <w:proofErr w:type="spellEnd"/>
      <w:r w:rsidRPr="008B66DC">
        <w:rPr>
          <w:rFonts w:ascii="Times New Roman" w:hAnsi="Times New Roman" w:cs="Times New Roman"/>
          <w:lang w:val="pt-BR"/>
        </w:rPr>
        <w:t>,vol</w:t>
      </w:r>
      <w:r w:rsidR="009843AF" w:rsidRPr="008B66DC">
        <w:rPr>
          <w:rFonts w:ascii="Times New Roman" w:hAnsi="Times New Roman" w:cs="Times New Roman"/>
          <w:lang w:val="pt-BR"/>
        </w:rPr>
        <w:t>ume</w:t>
      </w:r>
      <w:r w:rsidRPr="008B66DC">
        <w:rPr>
          <w:rFonts w:ascii="Times New Roman" w:hAnsi="Times New Roman" w:cs="Times New Roman"/>
          <w:lang w:val="pt-BR"/>
        </w:rPr>
        <w:t xml:space="preserve"> 31. AIDIC,</w:t>
      </w:r>
      <w:r w:rsidR="009843AF" w:rsidRPr="008B66DC">
        <w:rPr>
          <w:rFonts w:ascii="Times New Roman" w:hAnsi="Times New Roman" w:cs="Times New Roman"/>
          <w:lang w:val="pt-BR"/>
        </w:rPr>
        <w:t xml:space="preserve"> 2013.</w:t>
      </w:r>
    </w:p>
    <w:p w:rsidR="004A4AE2" w:rsidRPr="008B66DC" w:rsidRDefault="004A4AE2" w:rsidP="004A4AE2">
      <w:pPr>
        <w:spacing w:line="240" w:lineRule="auto"/>
        <w:rPr>
          <w:rFonts w:ascii="Times New Roman" w:hAnsi="Times New Roman" w:cs="Times New Roman"/>
          <w:shd w:val="clear" w:color="auto" w:fill="FFFFFF"/>
          <w:lang w:val="pt-BR"/>
        </w:rPr>
      </w:pPr>
      <w:r w:rsidRPr="008B66DC">
        <w:rPr>
          <w:rFonts w:ascii="Times New Roman" w:hAnsi="Times New Roman" w:cs="Times New Roman"/>
          <w:shd w:val="clear" w:color="auto" w:fill="FFFFFF"/>
          <w:lang w:val="pt-BR"/>
        </w:rPr>
        <w:t>[1</w:t>
      </w:r>
      <w:r w:rsidR="00956159" w:rsidRPr="008B66DC">
        <w:rPr>
          <w:rFonts w:ascii="Times New Roman" w:hAnsi="Times New Roman" w:cs="Times New Roman"/>
          <w:shd w:val="clear" w:color="auto" w:fill="FFFFFF"/>
          <w:lang w:val="pt-BR"/>
        </w:rPr>
        <w:t>1</w:t>
      </w:r>
      <w:r w:rsidRPr="008B66DC">
        <w:rPr>
          <w:rFonts w:ascii="Times New Roman" w:hAnsi="Times New Roman" w:cs="Times New Roman"/>
          <w:shd w:val="clear" w:color="auto" w:fill="FFFFFF"/>
          <w:lang w:val="pt-BR"/>
        </w:rPr>
        <w:t xml:space="preserve">] </w:t>
      </w:r>
      <w:r w:rsidR="009843AF" w:rsidRPr="008B66DC">
        <w:rPr>
          <w:rFonts w:ascii="Times New Roman" w:hAnsi="Times New Roman" w:cs="Times New Roman"/>
          <w:shd w:val="clear" w:color="auto" w:fill="FFFFFF"/>
          <w:lang w:val="pt-BR"/>
        </w:rPr>
        <w:t xml:space="preserve">ABIQUIM Espaço do associado, </w:t>
      </w:r>
      <w:r w:rsidRPr="008B66DC">
        <w:rPr>
          <w:rFonts w:ascii="Times New Roman" w:hAnsi="Times New Roman" w:cs="Times New Roman"/>
          <w:shd w:val="clear" w:color="auto" w:fill="FFFFFF"/>
          <w:lang w:val="pt-BR"/>
        </w:rPr>
        <w:t xml:space="preserve">Programa Atuação Responsável, </w:t>
      </w:r>
      <w:r w:rsidR="009843AF" w:rsidRPr="008B66DC">
        <w:rPr>
          <w:rFonts w:ascii="Times New Roman" w:hAnsi="Times New Roman" w:cs="Times New Roman"/>
          <w:shd w:val="clear" w:color="auto" w:fill="FFFFFF"/>
          <w:lang w:val="pt-BR"/>
        </w:rPr>
        <w:t>C</w:t>
      </w:r>
      <w:r w:rsidRPr="008B66DC">
        <w:rPr>
          <w:rFonts w:ascii="Times New Roman" w:hAnsi="Times New Roman" w:cs="Times New Roman"/>
          <w:shd w:val="clear" w:color="auto" w:fill="FFFFFF"/>
          <w:lang w:val="pt-BR"/>
        </w:rPr>
        <w:t xml:space="preserve">omissão de </w:t>
      </w:r>
      <w:r w:rsidR="009843AF" w:rsidRPr="008B66DC">
        <w:rPr>
          <w:rFonts w:ascii="Times New Roman" w:hAnsi="Times New Roman" w:cs="Times New Roman"/>
          <w:shd w:val="clear" w:color="auto" w:fill="FFFFFF"/>
          <w:lang w:val="pt-BR"/>
        </w:rPr>
        <w:t>S</w:t>
      </w:r>
      <w:r w:rsidRPr="008B66DC">
        <w:rPr>
          <w:rFonts w:ascii="Times New Roman" w:hAnsi="Times New Roman" w:cs="Times New Roman"/>
          <w:shd w:val="clear" w:color="auto" w:fill="FFFFFF"/>
          <w:lang w:val="pt-BR"/>
        </w:rPr>
        <w:t xml:space="preserve">egurança de </w:t>
      </w:r>
      <w:r w:rsidR="009843AF" w:rsidRPr="008B66DC">
        <w:rPr>
          <w:rFonts w:ascii="Times New Roman" w:hAnsi="Times New Roman" w:cs="Times New Roman"/>
          <w:shd w:val="clear" w:color="auto" w:fill="FFFFFF"/>
          <w:lang w:val="pt-BR"/>
        </w:rPr>
        <w:t>P</w:t>
      </w:r>
      <w:r w:rsidRPr="008B66DC">
        <w:rPr>
          <w:rFonts w:ascii="Times New Roman" w:hAnsi="Times New Roman" w:cs="Times New Roman"/>
          <w:shd w:val="clear" w:color="auto" w:fill="FFFFFF"/>
          <w:lang w:val="pt-BR"/>
        </w:rPr>
        <w:t xml:space="preserve">rocessos. </w:t>
      </w:r>
      <w:bookmarkEnd w:id="1"/>
    </w:p>
    <w:sectPr w:rsidR="004A4AE2" w:rsidRPr="008B66DC" w:rsidSect="00DC766A">
      <w:headerReference w:type="default" r:id="rId12"/>
      <w:headerReference w:type="first" r:id="rId13"/>
      <w:footerReference w:type="first" r:id="rId14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A18" w:rsidRDefault="009D5A18" w:rsidP="00BB52FE">
      <w:pPr>
        <w:spacing w:after="0" w:line="240" w:lineRule="auto"/>
      </w:pPr>
      <w:r>
        <w:separator/>
      </w:r>
    </w:p>
  </w:endnote>
  <w:endnote w:type="continuationSeparator" w:id="1">
    <w:p w:rsidR="009D5A18" w:rsidRDefault="009D5A18" w:rsidP="00BB5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5AA" w:rsidRPr="00DC766A" w:rsidRDefault="005665AA" w:rsidP="00DC766A">
    <w:pPr>
      <w:pStyle w:val="Rodap"/>
      <w:rPr>
        <w:sz w:val="16"/>
        <w:lang w:val="pt-BR"/>
      </w:rPr>
    </w:pPr>
    <w:r w:rsidRPr="00DC766A">
      <w:rPr>
        <w:sz w:val="16"/>
        <w:lang w:val="pt-BR"/>
      </w:rPr>
      <w:t xml:space="preserve">1 </w:t>
    </w:r>
    <w:r>
      <w:rPr>
        <w:sz w:val="16"/>
        <w:lang w:val="pt-BR"/>
      </w:rPr>
      <w:t>Professor SENAI-CETIQT</w:t>
    </w:r>
  </w:p>
  <w:p w:rsidR="005665AA" w:rsidRPr="00DC766A" w:rsidRDefault="005665AA" w:rsidP="00DC766A">
    <w:pPr>
      <w:pStyle w:val="Rodap"/>
      <w:rPr>
        <w:sz w:val="16"/>
        <w:lang w:val="pt-BR"/>
      </w:rPr>
    </w:pPr>
    <w:r w:rsidRPr="00DC766A">
      <w:rPr>
        <w:sz w:val="16"/>
        <w:lang w:val="pt-BR"/>
      </w:rPr>
      <w:t xml:space="preserve">2 </w:t>
    </w:r>
    <w:r>
      <w:rPr>
        <w:sz w:val="16"/>
        <w:lang w:val="pt-BR"/>
      </w:rPr>
      <w:t>Consultor independente de SEPRO</w:t>
    </w:r>
  </w:p>
  <w:p w:rsidR="005665AA" w:rsidRPr="00373302" w:rsidRDefault="005665AA" w:rsidP="00DC766A">
    <w:pPr>
      <w:pStyle w:val="Rodap"/>
      <w:rPr>
        <w:sz w:val="16"/>
        <w:lang w:val="pt-BR"/>
      </w:rPr>
    </w:pPr>
    <w:r w:rsidRPr="00373302">
      <w:rPr>
        <w:sz w:val="16"/>
        <w:lang w:val="pt-BR"/>
      </w:rPr>
      <w:t xml:space="preserve">3 </w:t>
    </w:r>
    <w:r>
      <w:rPr>
        <w:sz w:val="16"/>
        <w:lang w:val="pt-BR"/>
      </w:rPr>
      <w:t>Consultor de SEPRO</w:t>
    </w:r>
    <w:r w:rsidR="005C4C64">
      <w:rPr>
        <w:sz w:val="16"/>
        <w:lang w:val="pt-BR"/>
      </w:rPr>
      <w:t xml:space="preserve"> da </w:t>
    </w:r>
    <w:r>
      <w:rPr>
        <w:sz w:val="16"/>
        <w:lang w:val="pt-BR"/>
      </w:rPr>
      <w:t xml:space="preserve">ARRISK consultoria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A18" w:rsidRDefault="009D5A18" w:rsidP="00BB52FE">
      <w:pPr>
        <w:spacing w:after="0" w:line="240" w:lineRule="auto"/>
      </w:pPr>
      <w:r>
        <w:separator/>
      </w:r>
    </w:p>
  </w:footnote>
  <w:footnote w:type="continuationSeparator" w:id="1">
    <w:p w:rsidR="009D5A18" w:rsidRDefault="009D5A18" w:rsidP="00BB52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5AA" w:rsidRDefault="005665AA">
    <w:pPr>
      <w:pStyle w:val="Cabealho"/>
    </w:pPr>
    <w:r>
      <w:rPr>
        <w:rFonts w:ascii="Times New Roman" w:hAnsi="Times New Roman" w:cs="Times New Roman"/>
        <w:noProof/>
        <w:lang w:val="pt-BR"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4725670</wp:posOffset>
          </wp:positionH>
          <wp:positionV relativeFrom="paragraph">
            <wp:posOffset>-183515</wp:posOffset>
          </wp:positionV>
          <wp:extent cx="1203960" cy="466725"/>
          <wp:effectExtent l="0" t="0" r="0" b="9525"/>
          <wp:wrapThrough wrapText="bothSides">
            <wp:wrapPolygon edited="0">
              <wp:start x="684" y="0"/>
              <wp:lineTo x="0" y="2645"/>
              <wp:lineTo x="0" y="21159"/>
              <wp:lineTo x="21190" y="21159"/>
              <wp:lineTo x="21190" y="882"/>
              <wp:lineTo x="3418" y="0"/>
              <wp:lineTo x="684" y="0"/>
            </wp:wrapPolygon>
          </wp:wrapThrough>
          <wp:docPr id="26" name="Imagem 26" descr="C:\Users\PC Office2\Desktop\logo-we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 Office2\Desktop\logo-we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5AA" w:rsidRDefault="005665AA" w:rsidP="00483DC2">
    <w:pPr>
      <w:pStyle w:val="Cabealho"/>
    </w:pPr>
    <w:r>
      <w:rPr>
        <w:rFonts w:ascii="Times New Roman" w:hAnsi="Times New Roman" w:cs="Times New Roman"/>
        <w:noProof/>
        <w:lang w:val="pt-BR" w:eastAsia="pt-B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4725670</wp:posOffset>
          </wp:positionH>
          <wp:positionV relativeFrom="paragraph">
            <wp:posOffset>-183515</wp:posOffset>
          </wp:positionV>
          <wp:extent cx="1203960" cy="466725"/>
          <wp:effectExtent l="0" t="0" r="0" b="9525"/>
          <wp:wrapThrough wrapText="bothSides">
            <wp:wrapPolygon edited="0">
              <wp:start x="684" y="0"/>
              <wp:lineTo x="0" y="2645"/>
              <wp:lineTo x="0" y="21159"/>
              <wp:lineTo x="21190" y="21159"/>
              <wp:lineTo x="21190" y="882"/>
              <wp:lineTo x="3418" y="0"/>
              <wp:lineTo x="684" y="0"/>
            </wp:wrapPolygon>
          </wp:wrapThrough>
          <wp:docPr id="2" name="Imagem 2" descr="C:\Users\PC Office2\Desktop\logo-we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 Office2\Desktop\logo-we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665AA" w:rsidRDefault="005665AA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5FB4"/>
    <w:multiLevelType w:val="hybridMultilevel"/>
    <w:tmpl w:val="796A627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42F69"/>
    <w:multiLevelType w:val="hybridMultilevel"/>
    <w:tmpl w:val="240EA33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C952E2"/>
    <w:multiLevelType w:val="hybridMultilevel"/>
    <w:tmpl w:val="20642348"/>
    <w:lvl w:ilvl="0" w:tplc="6C9655C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510686"/>
    <w:multiLevelType w:val="hybridMultilevel"/>
    <w:tmpl w:val="D84EB3FC"/>
    <w:lvl w:ilvl="0" w:tplc="46465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2A6EBCC">
      <w:numFmt w:val="bullet"/>
      <w:lvlText w:val="•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247105"/>
    <w:multiLevelType w:val="hybridMultilevel"/>
    <w:tmpl w:val="58703B42"/>
    <w:lvl w:ilvl="0" w:tplc="88FC9F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0537757"/>
    <w:multiLevelType w:val="hybridMultilevel"/>
    <w:tmpl w:val="A7CE330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B12C4"/>
    <w:multiLevelType w:val="hybridMultilevel"/>
    <w:tmpl w:val="C082BB3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943768"/>
    <w:multiLevelType w:val="hybridMultilevel"/>
    <w:tmpl w:val="92623D90"/>
    <w:lvl w:ilvl="0" w:tplc="E9F88B4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78A46DF"/>
    <w:multiLevelType w:val="hybridMultilevel"/>
    <w:tmpl w:val="5B100F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D07BF8"/>
    <w:multiLevelType w:val="hybridMultilevel"/>
    <w:tmpl w:val="8738F4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F46BA1"/>
    <w:multiLevelType w:val="hybridMultilevel"/>
    <w:tmpl w:val="DEB44CD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442886"/>
    <w:multiLevelType w:val="hybridMultilevel"/>
    <w:tmpl w:val="2B20CA6E"/>
    <w:lvl w:ilvl="0" w:tplc="501C98E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35" w:hanging="360"/>
      </w:pPr>
    </w:lvl>
    <w:lvl w:ilvl="2" w:tplc="0416001B" w:tentative="1">
      <w:start w:val="1"/>
      <w:numFmt w:val="lowerRoman"/>
      <w:lvlText w:val="%3."/>
      <w:lvlJc w:val="right"/>
      <w:pPr>
        <w:ind w:left="2355" w:hanging="180"/>
      </w:pPr>
    </w:lvl>
    <w:lvl w:ilvl="3" w:tplc="0416000F" w:tentative="1">
      <w:start w:val="1"/>
      <w:numFmt w:val="decimal"/>
      <w:lvlText w:val="%4."/>
      <w:lvlJc w:val="left"/>
      <w:pPr>
        <w:ind w:left="3075" w:hanging="360"/>
      </w:pPr>
    </w:lvl>
    <w:lvl w:ilvl="4" w:tplc="04160019" w:tentative="1">
      <w:start w:val="1"/>
      <w:numFmt w:val="lowerLetter"/>
      <w:lvlText w:val="%5."/>
      <w:lvlJc w:val="left"/>
      <w:pPr>
        <w:ind w:left="3795" w:hanging="360"/>
      </w:pPr>
    </w:lvl>
    <w:lvl w:ilvl="5" w:tplc="0416001B" w:tentative="1">
      <w:start w:val="1"/>
      <w:numFmt w:val="lowerRoman"/>
      <w:lvlText w:val="%6."/>
      <w:lvlJc w:val="right"/>
      <w:pPr>
        <w:ind w:left="4515" w:hanging="180"/>
      </w:pPr>
    </w:lvl>
    <w:lvl w:ilvl="6" w:tplc="0416000F" w:tentative="1">
      <w:start w:val="1"/>
      <w:numFmt w:val="decimal"/>
      <w:lvlText w:val="%7."/>
      <w:lvlJc w:val="left"/>
      <w:pPr>
        <w:ind w:left="5235" w:hanging="360"/>
      </w:pPr>
    </w:lvl>
    <w:lvl w:ilvl="7" w:tplc="04160019" w:tentative="1">
      <w:start w:val="1"/>
      <w:numFmt w:val="lowerLetter"/>
      <w:lvlText w:val="%8."/>
      <w:lvlJc w:val="left"/>
      <w:pPr>
        <w:ind w:left="5955" w:hanging="360"/>
      </w:pPr>
    </w:lvl>
    <w:lvl w:ilvl="8" w:tplc="0416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>
    <w:nsid w:val="30AE3A68"/>
    <w:multiLevelType w:val="multilevel"/>
    <w:tmpl w:val="1FB4A6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38C51233"/>
    <w:multiLevelType w:val="hybridMultilevel"/>
    <w:tmpl w:val="AD225FD8"/>
    <w:lvl w:ilvl="0" w:tplc="0416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989701F"/>
    <w:multiLevelType w:val="hybridMultilevel"/>
    <w:tmpl w:val="3A8EE0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E110FB"/>
    <w:multiLevelType w:val="hybridMultilevel"/>
    <w:tmpl w:val="919EF370"/>
    <w:lvl w:ilvl="0" w:tplc="7C8224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EEA59C5"/>
    <w:multiLevelType w:val="hybridMultilevel"/>
    <w:tmpl w:val="8738F4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C021F9"/>
    <w:multiLevelType w:val="hybridMultilevel"/>
    <w:tmpl w:val="3C2A8904"/>
    <w:lvl w:ilvl="0" w:tplc="88FC9F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3EF3E9D"/>
    <w:multiLevelType w:val="hybridMultilevel"/>
    <w:tmpl w:val="8738F4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A82D90"/>
    <w:multiLevelType w:val="hybridMultilevel"/>
    <w:tmpl w:val="57E2CB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306142"/>
    <w:multiLevelType w:val="hybridMultilevel"/>
    <w:tmpl w:val="F5FA064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574BAF"/>
    <w:multiLevelType w:val="multilevel"/>
    <w:tmpl w:val="6052BD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69313907"/>
    <w:multiLevelType w:val="hybridMultilevel"/>
    <w:tmpl w:val="24368DF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DD74DF"/>
    <w:multiLevelType w:val="hybridMultilevel"/>
    <w:tmpl w:val="C082BB3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21"/>
  </w:num>
  <w:num w:numId="4">
    <w:abstractNumId w:val="17"/>
  </w:num>
  <w:num w:numId="5">
    <w:abstractNumId w:val="23"/>
  </w:num>
  <w:num w:numId="6">
    <w:abstractNumId w:val="6"/>
  </w:num>
  <w:num w:numId="7">
    <w:abstractNumId w:val="3"/>
  </w:num>
  <w:num w:numId="8">
    <w:abstractNumId w:val="15"/>
  </w:num>
  <w:num w:numId="9">
    <w:abstractNumId w:val="2"/>
  </w:num>
  <w:num w:numId="10">
    <w:abstractNumId w:val="14"/>
  </w:num>
  <w:num w:numId="11">
    <w:abstractNumId w:val="4"/>
  </w:num>
  <w:num w:numId="12">
    <w:abstractNumId w:val="20"/>
  </w:num>
  <w:num w:numId="13">
    <w:abstractNumId w:val="8"/>
  </w:num>
  <w:num w:numId="14">
    <w:abstractNumId w:val="12"/>
  </w:num>
  <w:num w:numId="15">
    <w:abstractNumId w:val="1"/>
  </w:num>
  <w:num w:numId="16">
    <w:abstractNumId w:val="18"/>
  </w:num>
  <w:num w:numId="17">
    <w:abstractNumId w:val="11"/>
  </w:num>
  <w:num w:numId="18">
    <w:abstractNumId w:val="16"/>
  </w:num>
  <w:num w:numId="19">
    <w:abstractNumId w:val="9"/>
  </w:num>
  <w:num w:numId="20">
    <w:abstractNumId w:val="7"/>
  </w:num>
  <w:num w:numId="21">
    <w:abstractNumId w:val="19"/>
  </w:num>
  <w:num w:numId="22">
    <w:abstractNumId w:val="13"/>
  </w:num>
  <w:num w:numId="23">
    <w:abstractNumId w:val="22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pt-BR" w:vendorID="64" w:dllVersion="6" w:nlCheck="1" w:checkStyle="0"/>
  <w:activeWritingStyle w:appName="MSWord" w:lang="en-US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311E0"/>
    <w:rsid w:val="000244FF"/>
    <w:rsid w:val="00024909"/>
    <w:rsid w:val="000327DC"/>
    <w:rsid w:val="00055A49"/>
    <w:rsid w:val="00073457"/>
    <w:rsid w:val="00080665"/>
    <w:rsid w:val="00082556"/>
    <w:rsid w:val="000A7251"/>
    <w:rsid w:val="000C7072"/>
    <w:rsid w:val="000D6B4A"/>
    <w:rsid w:val="000E1E38"/>
    <w:rsid w:val="000E5CBB"/>
    <w:rsid w:val="000F28BE"/>
    <w:rsid w:val="001403DA"/>
    <w:rsid w:val="00155C96"/>
    <w:rsid w:val="00164577"/>
    <w:rsid w:val="00170E2A"/>
    <w:rsid w:val="00173B06"/>
    <w:rsid w:val="001A2531"/>
    <w:rsid w:val="001B74BD"/>
    <w:rsid w:val="001D08CA"/>
    <w:rsid w:val="001D0DE2"/>
    <w:rsid w:val="001D1F91"/>
    <w:rsid w:val="001E414E"/>
    <w:rsid w:val="001F51AD"/>
    <w:rsid w:val="00204F0B"/>
    <w:rsid w:val="00204F13"/>
    <w:rsid w:val="00225574"/>
    <w:rsid w:val="00236340"/>
    <w:rsid w:val="00243C32"/>
    <w:rsid w:val="002530E8"/>
    <w:rsid w:val="00255021"/>
    <w:rsid w:val="00256AA6"/>
    <w:rsid w:val="0026458C"/>
    <w:rsid w:val="00271889"/>
    <w:rsid w:val="00271A86"/>
    <w:rsid w:val="00290742"/>
    <w:rsid w:val="002A1AE3"/>
    <w:rsid w:val="002A4355"/>
    <w:rsid w:val="002C2B3F"/>
    <w:rsid w:val="002C3A9E"/>
    <w:rsid w:val="002C68C0"/>
    <w:rsid w:val="002F16C3"/>
    <w:rsid w:val="002F2773"/>
    <w:rsid w:val="00300C45"/>
    <w:rsid w:val="00307776"/>
    <w:rsid w:val="00316C9B"/>
    <w:rsid w:val="003222BB"/>
    <w:rsid w:val="00332922"/>
    <w:rsid w:val="00336903"/>
    <w:rsid w:val="00344EC5"/>
    <w:rsid w:val="003522A8"/>
    <w:rsid w:val="00353784"/>
    <w:rsid w:val="00367C20"/>
    <w:rsid w:val="00373302"/>
    <w:rsid w:val="00376910"/>
    <w:rsid w:val="0038039D"/>
    <w:rsid w:val="0039740A"/>
    <w:rsid w:val="00397432"/>
    <w:rsid w:val="003B3685"/>
    <w:rsid w:val="003B7942"/>
    <w:rsid w:val="003C1003"/>
    <w:rsid w:val="003D38A7"/>
    <w:rsid w:val="003D5FA8"/>
    <w:rsid w:val="003E1F15"/>
    <w:rsid w:val="003E2B51"/>
    <w:rsid w:val="003E6924"/>
    <w:rsid w:val="003E7BC0"/>
    <w:rsid w:val="003F40FB"/>
    <w:rsid w:val="00412E8F"/>
    <w:rsid w:val="00414939"/>
    <w:rsid w:val="004162A1"/>
    <w:rsid w:val="00426A11"/>
    <w:rsid w:val="00460B1C"/>
    <w:rsid w:val="00460E5C"/>
    <w:rsid w:val="00472303"/>
    <w:rsid w:val="00483DC2"/>
    <w:rsid w:val="004A4AE2"/>
    <w:rsid w:val="004A7C59"/>
    <w:rsid w:val="004A7DF0"/>
    <w:rsid w:val="004B6CE3"/>
    <w:rsid w:val="004C04DC"/>
    <w:rsid w:val="004E2ABC"/>
    <w:rsid w:val="004F5284"/>
    <w:rsid w:val="004F5E35"/>
    <w:rsid w:val="0050130B"/>
    <w:rsid w:val="0050166E"/>
    <w:rsid w:val="00501C39"/>
    <w:rsid w:val="00523B01"/>
    <w:rsid w:val="005330A9"/>
    <w:rsid w:val="0053629A"/>
    <w:rsid w:val="00537364"/>
    <w:rsid w:val="00541FAF"/>
    <w:rsid w:val="005578AF"/>
    <w:rsid w:val="00557BC3"/>
    <w:rsid w:val="005665AA"/>
    <w:rsid w:val="00574D0D"/>
    <w:rsid w:val="0058110A"/>
    <w:rsid w:val="00583E1C"/>
    <w:rsid w:val="00590F07"/>
    <w:rsid w:val="005B351F"/>
    <w:rsid w:val="005B432C"/>
    <w:rsid w:val="005C4C64"/>
    <w:rsid w:val="005C677F"/>
    <w:rsid w:val="005F1C0D"/>
    <w:rsid w:val="005F2E29"/>
    <w:rsid w:val="005F41DF"/>
    <w:rsid w:val="005F4A9B"/>
    <w:rsid w:val="00611C62"/>
    <w:rsid w:val="00625CDA"/>
    <w:rsid w:val="006311E0"/>
    <w:rsid w:val="006415E9"/>
    <w:rsid w:val="006531DE"/>
    <w:rsid w:val="0065703C"/>
    <w:rsid w:val="00665485"/>
    <w:rsid w:val="00687B87"/>
    <w:rsid w:val="00693115"/>
    <w:rsid w:val="006A10C6"/>
    <w:rsid w:val="006B3E31"/>
    <w:rsid w:val="006C0FBE"/>
    <w:rsid w:val="006C1122"/>
    <w:rsid w:val="006C2639"/>
    <w:rsid w:val="006D245C"/>
    <w:rsid w:val="006E263E"/>
    <w:rsid w:val="006E7EBC"/>
    <w:rsid w:val="00710644"/>
    <w:rsid w:val="007106AE"/>
    <w:rsid w:val="00711E18"/>
    <w:rsid w:val="00721AA9"/>
    <w:rsid w:val="00726B2F"/>
    <w:rsid w:val="00745CED"/>
    <w:rsid w:val="0075224A"/>
    <w:rsid w:val="00772DAD"/>
    <w:rsid w:val="007B1BBE"/>
    <w:rsid w:val="007C22C6"/>
    <w:rsid w:val="007C410A"/>
    <w:rsid w:val="007D668A"/>
    <w:rsid w:val="007D6EBF"/>
    <w:rsid w:val="007E7932"/>
    <w:rsid w:val="00802B22"/>
    <w:rsid w:val="00822878"/>
    <w:rsid w:val="00822C4F"/>
    <w:rsid w:val="00846011"/>
    <w:rsid w:val="00856A7D"/>
    <w:rsid w:val="008570D2"/>
    <w:rsid w:val="008718AF"/>
    <w:rsid w:val="0089376B"/>
    <w:rsid w:val="008A2C61"/>
    <w:rsid w:val="008B154B"/>
    <w:rsid w:val="008B66DC"/>
    <w:rsid w:val="008C1749"/>
    <w:rsid w:val="008D42D4"/>
    <w:rsid w:val="008F5718"/>
    <w:rsid w:val="00910644"/>
    <w:rsid w:val="00921C2B"/>
    <w:rsid w:val="00956142"/>
    <w:rsid w:val="00956159"/>
    <w:rsid w:val="00971EFF"/>
    <w:rsid w:val="0097527D"/>
    <w:rsid w:val="0097592B"/>
    <w:rsid w:val="00977F44"/>
    <w:rsid w:val="009843AF"/>
    <w:rsid w:val="009A5FB9"/>
    <w:rsid w:val="009C20BC"/>
    <w:rsid w:val="009D5A18"/>
    <w:rsid w:val="009F08C7"/>
    <w:rsid w:val="009F0BF2"/>
    <w:rsid w:val="00A029F7"/>
    <w:rsid w:val="00A10018"/>
    <w:rsid w:val="00A15440"/>
    <w:rsid w:val="00A40A44"/>
    <w:rsid w:val="00A43303"/>
    <w:rsid w:val="00A62D05"/>
    <w:rsid w:val="00A675D8"/>
    <w:rsid w:val="00A71703"/>
    <w:rsid w:val="00A728DF"/>
    <w:rsid w:val="00A72911"/>
    <w:rsid w:val="00A743C4"/>
    <w:rsid w:val="00A8069A"/>
    <w:rsid w:val="00A901E4"/>
    <w:rsid w:val="00AC4989"/>
    <w:rsid w:val="00AD59DB"/>
    <w:rsid w:val="00AE5016"/>
    <w:rsid w:val="00AE5369"/>
    <w:rsid w:val="00AE7C98"/>
    <w:rsid w:val="00AF130F"/>
    <w:rsid w:val="00B14736"/>
    <w:rsid w:val="00B15494"/>
    <w:rsid w:val="00B234EC"/>
    <w:rsid w:val="00B235C8"/>
    <w:rsid w:val="00B23B18"/>
    <w:rsid w:val="00B27EDC"/>
    <w:rsid w:val="00B30E6C"/>
    <w:rsid w:val="00B377AF"/>
    <w:rsid w:val="00B37FFD"/>
    <w:rsid w:val="00B445B9"/>
    <w:rsid w:val="00B46757"/>
    <w:rsid w:val="00B67FEF"/>
    <w:rsid w:val="00B728AC"/>
    <w:rsid w:val="00B84304"/>
    <w:rsid w:val="00B917D4"/>
    <w:rsid w:val="00B94273"/>
    <w:rsid w:val="00BA0F36"/>
    <w:rsid w:val="00BA1837"/>
    <w:rsid w:val="00BA4E7E"/>
    <w:rsid w:val="00BB188E"/>
    <w:rsid w:val="00BB52FE"/>
    <w:rsid w:val="00BC3D7D"/>
    <w:rsid w:val="00BD0018"/>
    <w:rsid w:val="00BF3396"/>
    <w:rsid w:val="00C06685"/>
    <w:rsid w:val="00C102C7"/>
    <w:rsid w:val="00C20157"/>
    <w:rsid w:val="00C37054"/>
    <w:rsid w:val="00C43915"/>
    <w:rsid w:val="00C53149"/>
    <w:rsid w:val="00C55DB4"/>
    <w:rsid w:val="00C61F09"/>
    <w:rsid w:val="00C75810"/>
    <w:rsid w:val="00C75A40"/>
    <w:rsid w:val="00C80D55"/>
    <w:rsid w:val="00C832B5"/>
    <w:rsid w:val="00C9019E"/>
    <w:rsid w:val="00C90A26"/>
    <w:rsid w:val="00CA44D9"/>
    <w:rsid w:val="00CB6453"/>
    <w:rsid w:val="00CC18A3"/>
    <w:rsid w:val="00CE09E1"/>
    <w:rsid w:val="00CE2119"/>
    <w:rsid w:val="00D00D94"/>
    <w:rsid w:val="00D162E0"/>
    <w:rsid w:val="00D31E1C"/>
    <w:rsid w:val="00D35C89"/>
    <w:rsid w:val="00D42FC0"/>
    <w:rsid w:val="00D46EB7"/>
    <w:rsid w:val="00D65CBD"/>
    <w:rsid w:val="00D7330E"/>
    <w:rsid w:val="00D73985"/>
    <w:rsid w:val="00D77725"/>
    <w:rsid w:val="00D839C8"/>
    <w:rsid w:val="00D868FF"/>
    <w:rsid w:val="00D9314E"/>
    <w:rsid w:val="00DC766A"/>
    <w:rsid w:val="00DD7B73"/>
    <w:rsid w:val="00DE30F3"/>
    <w:rsid w:val="00DF0FB5"/>
    <w:rsid w:val="00DF1AEF"/>
    <w:rsid w:val="00E01E00"/>
    <w:rsid w:val="00E2620F"/>
    <w:rsid w:val="00E3765A"/>
    <w:rsid w:val="00E54A22"/>
    <w:rsid w:val="00E63F56"/>
    <w:rsid w:val="00E71677"/>
    <w:rsid w:val="00EB1B8E"/>
    <w:rsid w:val="00EB26C9"/>
    <w:rsid w:val="00ED40C8"/>
    <w:rsid w:val="00ED6B38"/>
    <w:rsid w:val="00ED724E"/>
    <w:rsid w:val="00EE40C1"/>
    <w:rsid w:val="00EE5C38"/>
    <w:rsid w:val="00EE5C95"/>
    <w:rsid w:val="00F026CB"/>
    <w:rsid w:val="00F30124"/>
    <w:rsid w:val="00F317FA"/>
    <w:rsid w:val="00F32BA2"/>
    <w:rsid w:val="00F46BB1"/>
    <w:rsid w:val="00F470F9"/>
    <w:rsid w:val="00F50244"/>
    <w:rsid w:val="00F52677"/>
    <w:rsid w:val="00F53E2A"/>
    <w:rsid w:val="00F571D7"/>
    <w:rsid w:val="00F7586A"/>
    <w:rsid w:val="00F95E77"/>
    <w:rsid w:val="00FA4939"/>
    <w:rsid w:val="00FD00BD"/>
    <w:rsid w:val="00FD53FD"/>
    <w:rsid w:val="00FE39A7"/>
    <w:rsid w:val="00FF37FA"/>
    <w:rsid w:val="00FF76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91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1D0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2A1AE3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B52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B52FE"/>
    <w:rPr>
      <w:lang w:val="en-GB"/>
    </w:rPr>
  </w:style>
  <w:style w:type="paragraph" w:styleId="Rodap">
    <w:name w:val="footer"/>
    <w:basedOn w:val="Normal"/>
    <w:link w:val="RodapChar"/>
    <w:uiPriority w:val="99"/>
    <w:unhideWhenUsed/>
    <w:rsid w:val="00BB52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B52FE"/>
    <w:rPr>
      <w:lang w:val="en-GB"/>
    </w:rPr>
  </w:style>
  <w:style w:type="paragraph" w:customStyle="1" w:styleId="Default">
    <w:name w:val="Default"/>
    <w:rsid w:val="00204F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74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74D0D"/>
    <w:rPr>
      <w:rFonts w:ascii="Segoe UI" w:hAnsi="Segoe UI" w:cs="Segoe U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9F08C7"/>
    <w:rPr>
      <w:color w:val="808080"/>
    </w:rPr>
  </w:style>
  <w:style w:type="character" w:styleId="Refdecomentrio">
    <w:name w:val="annotation reference"/>
    <w:basedOn w:val="Fontepargpadro"/>
    <w:uiPriority w:val="99"/>
    <w:semiHidden/>
    <w:unhideWhenUsed/>
    <w:rsid w:val="0097592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7592B"/>
    <w:pPr>
      <w:spacing w:line="240" w:lineRule="auto"/>
    </w:pPr>
    <w:rPr>
      <w:rFonts w:eastAsiaTheme="minorHAnsi"/>
      <w:sz w:val="20"/>
      <w:szCs w:val="20"/>
      <w:lang w:val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7592B"/>
    <w:rPr>
      <w:rFonts w:eastAsiaTheme="minorHAnsi"/>
      <w:sz w:val="20"/>
      <w:szCs w:val="20"/>
      <w:lang w:val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8110A"/>
    <w:rPr>
      <w:rFonts w:eastAsiaTheme="minorEastAsia"/>
      <w:b/>
      <w:bCs/>
      <w:lang w:val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8110A"/>
    <w:rPr>
      <w:rFonts w:eastAsiaTheme="minorHAnsi"/>
      <w:b/>
      <w:bCs/>
      <w:sz w:val="20"/>
      <w:szCs w:val="20"/>
      <w:lang w:val="pt-BR"/>
    </w:rPr>
  </w:style>
  <w:style w:type="paragraph" w:styleId="Pr-formataoHTML">
    <w:name w:val="HTML Preformatted"/>
    <w:basedOn w:val="Normal"/>
    <w:link w:val="Pr-formataoHTMLChar"/>
    <w:uiPriority w:val="99"/>
    <w:unhideWhenUsed/>
    <w:rsid w:val="005811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pt-BR"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58110A"/>
    <w:rPr>
      <w:rFonts w:ascii="Courier New" w:eastAsia="Times New Roman" w:hAnsi="Courier New" w:cs="Courier New"/>
      <w:sz w:val="20"/>
      <w:szCs w:val="20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DE30F3"/>
    <w:rPr>
      <w:color w:val="0000FF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728DF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D31E1C"/>
    <w:rPr>
      <w:color w:val="954F72" w:themeColor="followedHyperlink"/>
      <w:u w:val="single"/>
    </w:rPr>
  </w:style>
  <w:style w:type="character" w:customStyle="1" w:styleId="sr-only">
    <w:name w:val="sr-only"/>
    <w:basedOn w:val="Fontepargpadro"/>
    <w:rsid w:val="00FE39A7"/>
  </w:style>
  <w:style w:type="character" w:customStyle="1" w:styleId="text">
    <w:name w:val="text"/>
    <w:basedOn w:val="Fontepargpadro"/>
    <w:rsid w:val="00FE39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4A54ED84785C24E8AEE364559ADA5E1" ma:contentTypeVersion="8" ma:contentTypeDescription="Crie um novo documento." ma:contentTypeScope="" ma:versionID="3d6d097b88b9b8df17f5ef29187b0a1c">
  <xsd:schema xmlns:xsd="http://www.w3.org/2001/XMLSchema" xmlns:xs="http://www.w3.org/2001/XMLSchema" xmlns:p="http://schemas.microsoft.com/office/2006/metadata/properties" xmlns:ns3="f6373481-c58b-4a3a-b7bc-7caf7308c713" targetNamespace="http://schemas.microsoft.com/office/2006/metadata/properties" ma:root="true" ma:fieldsID="7dd917961ccb1335ff55c7f55c7e4578" ns3:_="">
    <xsd:import namespace="f6373481-c58b-4a3a-b7bc-7caf7308c7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373481-c58b-4a3a-b7bc-7caf7308c7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AC7DC-8B01-4837-AB3B-03DA777218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AEC8D0-EBAA-4EAB-81B3-2FF0A2A89F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3A7B60-6AB7-484D-9A77-378B0C54D1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373481-c58b-4a3a-b7bc-7caf7308c7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899948-CC5A-4630-980A-658B4F3D6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4685</Words>
  <Characters>25299</Characters>
  <Application>Microsoft Office Word</Application>
  <DocSecurity>4</DocSecurity>
  <Lines>210</Lines>
  <Paragraphs>59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Petrobras</Company>
  <LinksUpToDate>false</LinksUpToDate>
  <CharactersWithSpaces>29925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REanto</dc:creator>
  <cp:lastModifiedBy>LuizC</cp:lastModifiedBy>
  <cp:revision>2</cp:revision>
  <cp:lastPrinted>2019-11-13T16:21:00Z</cp:lastPrinted>
  <dcterms:created xsi:type="dcterms:W3CDTF">2019-12-30T01:50:00Z</dcterms:created>
  <dcterms:modified xsi:type="dcterms:W3CDTF">2019-12-30T01:50:00Z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e61996e-cafd-4c9a-8a94-2dc1b82131ae_Enabled">
    <vt:lpwstr>True</vt:lpwstr>
  </property>
  <property fmtid="{D5CDD505-2E9C-101B-9397-08002B2CF9AE}" pid="3" name="MSIP_Label_8e61996e-cafd-4c9a-8a94-2dc1b82131ae_SiteId">
    <vt:lpwstr>5b6f6241-9a57-4be4-8e50-1dfa72e79a57</vt:lpwstr>
  </property>
  <property fmtid="{D5CDD505-2E9C-101B-9397-08002B2CF9AE}" pid="4" name="MSIP_Label_8e61996e-cafd-4c9a-8a94-2dc1b82131ae_Owner">
    <vt:lpwstr>renatomendes@petrobras.com.br</vt:lpwstr>
  </property>
  <property fmtid="{D5CDD505-2E9C-101B-9397-08002B2CF9AE}" pid="5" name="MSIP_Label_8e61996e-cafd-4c9a-8a94-2dc1b82131ae_SetDate">
    <vt:lpwstr>2019-09-23T18:10:39.4662329Z</vt:lpwstr>
  </property>
  <property fmtid="{D5CDD505-2E9C-101B-9397-08002B2CF9AE}" pid="6" name="MSIP_Label_8e61996e-cafd-4c9a-8a94-2dc1b82131ae_Name">
    <vt:lpwstr>NP-1</vt:lpwstr>
  </property>
  <property fmtid="{D5CDD505-2E9C-101B-9397-08002B2CF9AE}" pid="7" name="MSIP_Label_8e61996e-cafd-4c9a-8a94-2dc1b82131ae_Application">
    <vt:lpwstr>Microsoft Azure Information Protection</vt:lpwstr>
  </property>
  <property fmtid="{D5CDD505-2E9C-101B-9397-08002B2CF9AE}" pid="8" name="MSIP_Label_8e61996e-cafd-4c9a-8a94-2dc1b82131ae_ActionId">
    <vt:lpwstr>44164cd0-7eb4-4119-96a0-b012416556ff</vt:lpwstr>
  </property>
  <property fmtid="{D5CDD505-2E9C-101B-9397-08002B2CF9AE}" pid="9" name="MSIP_Label_8e61996e-cafd-4c9a-8a94-2dc1b82131ae_Extended_MSFT_Method">
    <vt:lpwstr>Automatic</vt:lpwstr>
  </property>
  <property fmtid="{D5CDD505-2E9C-101B-9397-08002B2CF9AE}" pid="10" name="Sensitivity">
    <vt:lpwstr>NP-1</vt:lpwstr>
  </property>
  <property fmtid="{D5CDD505-2E9C-101B-9397-08002B2CF9AE}" pid="11" name="ContentTypeId">
    <vt:lpwstr>0x01010074A54ED84785C24E8AEE364559ADA5E1</vt:lpwstr>
  </property>
</Properties>
</file>