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BB52FE" w:rsidRPr="00C75BEA" w:rsidRDefault="00C75BEA" w:rsidP="004A7C59">
      <w:pPr>
        <w:jc w:val="center"/>
        <w:rPr>
          <w:rFonts w:ascii="Times New Roman" w:hAnsi="Times New Roman" w:cs="Times New Roman"/>
          <w:b/>
          <w:sz w:val="28"/>
          <w:szCs w:val="24"/>
          <w:lang w:val="pt-BR"/>
        </w:rPr>
      </w:pPr>
      <w:r>
        <w:rPr>
          <w:rFonts w:ascii="Times New Roman" w:hAnsi="Times New Roman" w:cs="Times New Roman"/>
          <w:b/>
          <w:sz w:val="24"/>
          <w:szCs w:val="24"/>
          <w:lang w:val="pt-BR"/>
        </w:rPr>
        <w:t>ESCOLHA TECNOLÓGICA UTILIZANDO FLUXOS GEOMÉTRICOS DIFERENCIAIS EM TOPOLOGIAS ENTRÓPICAS</w:t>
      </w:r>
      <w:r w:rsidR="009C28B8">
        <w:rPr>
          <w:rFonts w:ascii="Times New Roman" w:hAnsi="Times New Roman" w:cs="Times New Roman"/>
          <w:b/>
          <w:sz w:val="24"/>
          <w:szCs w:val="24"/>
          <w:lang w:val="pt-BR"/>
        </w:rPr>
        <w:t xml:space="preserve">: UMA APLICAÇÃO EM </w:t>
      </w:r>
      <w:r w:rsidR="009C28B8" w:rsidRPr="00C75BEA">
        <w:rPr>
          <w:rFonts w:ascii="Times New Roman" w:hAnsi="Times New Roman" w:cs="Times New Roman"/>
          <w:b/>
          <w:sz w:val="24"/>
          <w:szCs w:val="24"/>
          <w:lang w:val="pt-BR"/>
        </w:rPr>
        <w:t>PROJETO DE POÇO CONTENDO COMPLETAÇÃO SELETIVA EM 3 ZONAS EM POÇO ABERTO DE 12 ¼”, EM AMBIENTE PROPÍCIO À PERDA DE FLUIDO</w:t>
      </w:r>
    </w:p>
    <w:p w:rsidR="005F1C0D" w:rsidRPr="00C75BEA" w:rsidRDefault="005F1C0D" w:rsidP="004A7C59">
      <w:pPr>
        <w:jc w:val="center"/>
        <w:rPr>
          <w:rFonts w:ascii="Times New Roman" w:hAnsi="Times New Roman" w:cs="Times New Roman"/>
          <w:b/>
          <w:sz w:val="28"/>
          <w:szCs w:val="24"/>
          <w:lang w:val="pt-BR"/>
        </w:rPr>
      </w:pPr>
    </w:p>
    <w:p w:rsidR="00BB52FE" w:rsidRPr="00C75BEA" w:rsidRDefault="00C75BEA" w:rsidP="004A7C59">
      <w:pPr>
        <w:jc w:val="center"/>
        <w:rPr>
          <w:rFonts w:ascii="Times New Roman" w:hAnsi="Times New Roman" w:cs="Times New Roman"/>
          <w:szCs w:val="24"/>
          <w:lang w:val="pt-BR"/>
        </w:rPr>
      </w:pPr>
      <w:r>
        <w:rPr>
          <w:rFonts w:ascii="Times New Roman" w:hAnsi="Times New Roman" w:cs="Times New Roman"/>
          <w:szCs w:val="24"/>
          <w:lang w:val="pt-BR"/>
        </w:rPr>
        <w:t>Carlos Magno C. Jacinto</w:t>
      </w:r>
      <w:r w:rsidR="00C71B65">
        <w:rPr>
          <w:rFonts w:ascii="Times New Roman" w:hAnsi="Times New Roman" w:cs="Times New Roman"/>
          <w:szCs w:val="24"/>
          <w:vertAlign w:val="superscript"/>
          <w:lang w:val="pt-BR"/>
        </w:rPr>
        <w:t>1</w:t>
      </w:r>
      <w:r w:rsidR="00BB52FE" w:rsidRPr="00C75BEA">
        <w:rPr>
          <w:rFonts w:ascii="Times New Roman" w:hAnsi="Times New Roman" w:cs="Times New Roman"/>
          <w:szCs w:val="24"/>
          <w:lang w:val="pt-BR"/>
        </w:rPr>
        <w:t xml:space="preserve">, </w:t>
      </w:r>
      <w:r w:rsidR="009C28B8">
        <w:rPr>
          <w:rFonts w:ascii="Times New Roman" w:hAnsi="Times New Roman" w:cs="Times New Roman"/>
          <w:szCs w:val="24"/>
          <w:lang w:val="pt-BR"/>
        </w:rPr>
        <w:t>PETROBRAS/CENPES</w:t>
      </w:r>
    </w:p>
    <w:p w:rsidR="005F1C0D" w:rsidRPr="00C75BEA" w:rsidRDefault="005F1C0D" w:rsidP="004A7C59">
      <w:pPr>
        <w:jc w:val="center"/>
        <w:rPr>
          <w:rFonts w:ascii="Times New Roman" w:hAnsi="Times New Roman" w:cs="Times New Roman"/>
          <w:sz w:val="24"/>
          <w:szCs w:val="24"/>
          <w:lang w:val="pt-BR"/>
        </w:rPr>
      </w:pPr>
    </w:p>
    <w:p w:rsidR="006311E0" w:rsidRPr="009A0798" w:rsidRDefault="00541FAF" w:rsidP="004A7C59">
      <w:pPr>
        <w:autoSpaceDE w:val="0"/>
        <w:autoSpaceDN w:val="0"/>
        <w:adjustRightInd w:val="0"/>
        <w:spacing w:after="0" w:line="240" w:lineRule="auto"/>
        <w:rPr>
          <w:rFonts w:ascii="Times New Roman" w:hAnsi="Times New Roman" w:cs="Times New Roman"/>
          <w:b/>
          <w:color w:val="1C1C1C"/>
          <w:sz w:val="24"/>
          <w:szCs w:val="24"/>
          <w:lang w:val="pt-BR"/>
        </w:rPr>
      </w:pPr>
      <w:r w:rsidRPr="009A0798">
        <w:rPr>
          <w:rFonts w:ascii="Times New Roman" w:hAnsi="Times New Roman" w:cs="Times New Roman"/>
          <w:b/>
          <w:color w:val="1C1C1C"/>
          <w:sz w:val="24"/>
          <w:szCs w:val="24"/>
          <w:lang w:val="pt-BR"/>
        </w:rPr>
        <w:t>ABSTRACT</w:t>
      </w:r>
    </w:p>
    <w:p w:rsidR="00541FAF" w:rsidRPr="009A0798"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lang w:val="pt-BR"/>
        </w:rPr>
      </w:pPr>
    </w:p>
    <w:p w:rsidR="002B5194" w:rsidRPr="002B5194" w:rsidRDefault="002B5194" w:rsidP="002B5194">
      <w:pPr>
        <w:autoSpaceDE w:val="0"/>
        <w:autoSpaceDN w:val="0"/>
        <w:adjustRightInd w:val="0"/>
        <w:spacing w:after="0" w:line="240" w:lineRule="auto"/>
        <w:jc w:val="both"/>
        <w:rPr>
          <w:rFonts w:ascii="Times New Roman" w:hAnsi="Times New Roman" w:cs="Times New Roman"/>
          <w:color w:val="1C1C1C"/>
          <w:lang w:val="pt-BR"/>
        </w:rPr>
      </w:pPr>
      <w:r w:rsidRPr="002B5194">
        <w:rPr>
          <w:rFonts w:ascii="Times New Roman" w:hAnsi="Times New Roman" w:cs="Times New Roman"/>
          <w:color w:val="1C1C1C"/>
          <w:lang w:val="pt-BR"/>
        </w:rPr>
        <w:t xml:space="preserve">O </w:t>
      </w:r>
      <w:r w:rsidR="00E24A22">
        <w:rPr>
          <w:rFonts w:ascii="Times New Roman" w:hAnsi="Times New Roman" w:cs="Times New Roman"/>
          <w:color w:val="1C1C1C"/>
          <w:lang w:val="pt-BR"/>
        </w:rPr>
        <w:t xml:space="preserve">projeto de poço </w:t>
      </w:r>
      <w:r w:rsidRPr="002B5194">
        <w:rPr>
          <w:rFonts w:ascii="Times New Roman" w:hAnsi="Times New Roman" w:cs="Times New Roman"/>
          <w:color w:val="1C1C1C"/>
          <w:lang w:val="pt-BR"/>
        </w:rPr>
        <w:t xml:space="preserve">PACI 3 Zonas </w:t>
      </w:r>
      <w:r>
        <w:rPr>
          <w:rFonts w:ascii="Times New Roman" w:hAnsi="Times New Roman" w:cs="Times New Roman"/>
          <w:color w:val="1C1C1C"/>
          <w:lang w:val="pt-BR"/>
        </w:rPr>
        <w:t xml:space="preserve">(Poço aberto Completação Inteligente com 3 zonas produtoras ou injetoras) </w:t>
      </w:r>
      <w:r w:rsidRPr="002B5194">
        <w:rPr>
          <w:rFonts w:ascii="Times New Roman" w:hAnsi="Times New Roman" w:cs="Times New Roman"/>
          <w:color w:val="1C1C1C"/>
          <w:lang w:val="pt-BR"/>
        </w:rPr>
        <w:t xml:space="preserve">busca </w:t>
      </w:r>
      <w:r w:rsidR="00E24A22">
        <w:rPr>
          <w:rFonts w:ascii="Times New Roman" w:hAnsi="Times New Roman" w:cs="Times New Roman"/>
          <w:color w:val="1C1C1C"/>
          <w:lang w:val="pt-BR"/>
        </w:rPr>
        <w:t xml:space="preserve">reduzir </w:t>
      </w:r>
      <w:r w:rsidRPr="002B5194">
        <w:rPr>
          <w:rFonts w:ascii="Times New Roman" w:hAnsi="Times New Roman" w:cs="Times New Roman"/>
          <w:color w:val="1C1C1C"/>
          <w:lang w:val="pt-BR"/>
        </w:rPr>
        <w:t xml:space="preserve">as desvantagens identificadas para CI </w:t>
      </w:r>
      <w:r>
        <w:rPr>
          <w:rFonts w:ascii="Times New Roman" w:hAnsi="Times New Roman" w:cs="Times New Roman"/>
          <w:color w:val="1C1C1C"/>
          <w:lang w:val="pt-BR"/>
        </w:rPr>
        <w:t xml:space="preserve">(Completação Inteligente) </w:t>
      </w:r>
      <w:r w:rsidRPr="002B5194">
        <w:rPr>
          <w:rFonts w:ascii="Times New Roman" w:hAnsi="Times New Roman" w:cs="Times New Roman"/>
          <w:color w:val="1C1C1C"/>
          <w:lang w:val="pt-BR"/>
        </w:rPr>
        <w:t>convencional e PACI 2+1</w:t>
      </w:r>
      <w:r>
        <w:rPr>
          <w:rFonts w:ascii="Times New Roman" w:hAnsi="Times New Roman" w:cs="Times New Roman"/>
          <w:color w:val="1C1C1C"/>
          <w:lang w:val="pt-BR"/>
        </w:rPr>
        <w:t xml:space="preserve"> (Poço </w:t>
      </w:r>
      <w:r w:rsidR="00E24A22">
        <w:rPr>
          <w:rFonts w:ascii="Times New Roman" w:hAnsi="Times New Roman" w:cs="Times New Roman"/>
          <w:color w:val="1C1C1C"/>
          <w:lang w:val="pt-BR"/>
        </w:rPr>
        <w:t>A</w:t>
      </w:r>
      <w:r>
        <w:rPr>
          <w:rFonts w:ascii="Times New Roman" w:hAnsi="Times New Roman" w:cs="Times New Roman"/>
          <w:color w:val="1C1C1C"/>
          <w:lang w:val="pt-BR"/>
        </w:rPr>
        <w:t xml:space="preserve">berto Completação </w:t>
      </w:r>
      <w:r w:rsidR="00E24A22">
        <w:rPr>
          <w:rFonts w:ascii="Times New Roman" w:hAnsi="Times New Roman" w:cs="Times New Roman"/>
          <w:color w:val="1C1C1C"/>
          <w:lang w:val="pt-BR"/>
        </w:rPr>
        <w:t>I</w:t>
      </w:r>
      <w:r>
        <w:rPr>
          <w:rFonts w:ascii="Times New Roman" w:hAnsi="Times New Roman" w:cs="Times New Roman"/>
          <w:color w:val="1C1C1C"/>
          <w:lang w:val="pt-BR"/>
        </w:rPr>
        <w:t xml:space="preserve">nteligente com 2 zonas produtoras ou injetoras </w:t>
      </w:r>
      <w:r w:rsidR="00E24A22">
        <w:rPr>
          <w:rFonts w:ascii="Times New Roman" w:hAnsi="Times New Roman" w:cs="Times New Roman"/>
          <w:color w:val="1C1C1C"/>
          <w:lang w:val="pt-BR"/>
        </w:rPr>
        <w:t>conjuntas e uma zona i</w:t>
      </w:r>
      <w:r>
        <w:rPr>
          <w:rFonts w:ascii="Times New Roman" w:hAnsi="Times New Roman" w:cs="Times New Roman"/>
          <w:color w:val="1C1C1C"/>
          <w:lang w:val="pt-BR"/>
        </w:rPr>
        <w:t>ndependente)</w:t>
      </w:r>
      <w:r w:rsidRPr="002B5194">
        <w:rPr>
          <w:rFonts w:ascii="Times New Roman" w:hAnsi="Times New Roman" w:cs="Times New Roman"/>
          <w:color w:val="1C1C1C"/>
          <w:lang w:val="pt-BR"/>
        </w:rPr>
        <w:t>, devendo atender ao escopo de controle remoto independente de 3 intervalos e a melhor</w:t>
      </w:r>
      <w:r w:rsidR="00E24A22">
        <w:rPr>
          <w:rFonts w:ascii="Times New Roman" w:hAnsi="Times New Roman" w:cs="Times New Roman"/>
          <w:color w:val="1C1C1C"/>
          <w:lang w:val="pt-BR"/>
        </w:rPr>
        <w:t>i</w:t>
      </w:r>
      <w:r w:rsidRPr="002B5194">
        <w:rPr>
          <w:rFonts w:ascii="Times New Roman" w:hAnsi="Times New Roman" w:cs="Times New Roman"/>
          <w:color w:val="1C1C1C"/>
          <w:lang w:val="pt-BR"/>
        </w:rPr>
        <w:t>a na previsibilidade das operações de Heavy Workover</w:t>
      </w:r>
      <w:r w:rsidR="00E24A22">
        <w:rPr>
          <w:rFonts w:ascii="Times New Roman" w:hAnsi="Times New Roman" w:cs="Times New Roman"/>
          <w:color w:val="1C1C1C"/>
          <w:lang w:val="pt-BR"/>
        </w:rPr>
        <w:t xml:space="preserve"> (manutenção do poço de alto custo e impacto)</w:t>
      </w:r>
      <w:r w:rsidRPr="002B5194">
        <w:rPr>
          <w:rFonts w:ascii="Times New Roman" w:hAnsi="Times New Roman" w:cs="Times New Roman"/>
          <w:color w:val="1C1C1C"/>
          <w:lang w:val="pt-BR"/>
        </w:rPr>
        <w:t>, minimizando riscos inerentes às operações de retirada de coluna com formação exposta.</w:t>
      </w:r>
    </w:p>
    <w:p w:rsidR="002B5194" w:rsidRPr="002B5194" w:rsidRDefault="002B5194" w:rsidP="002B5194">
      <w:pPr>
        <w:autoSpaceDE w:val="0"/>
        <w:autoSpaceDN w:val="0"/>
        <w:adjustRightInd w:val="0"/>
        <w:spacing w:after="0" w:line="240" w:lineRule="auto"/>
        <w:jc w:val="both"/>
        <w:rPr>
          <w:rFonts w:ascii="Times New Roman" w:hAnsi="Times New Roman" w:cs="Times New Roman"/>
          <w:color w:val="1C1C1C"/>
          <w:lang w:val="pt-BR"/>
        </w:rPr>
      </w:pPr>
      <w:r w:rsidRPr="002B5194">
        <w:rPr>
          <w:rFonts w:ascii="Times New Roman" w:hAnsi="Times New Roman" w:cs="Times New Roman"/>
          <w:color w:val="1C1C1C"/>
          <w:lang w:val="pt-BR"/>
        </w:rPr>
        <w:t>Esta análise tem como objetivo conceituar e subsidiar a escolha de uma configuração que permita a utilização d</w:t>
      </w:r>
      <w:r w:rsidR="00E24A22">
        <w:rPr>
          <w:rFonts w:ascii="Times New Roman" w:hAnsi="Times New Roman" w:cs="Times New Roman"/>
          <w:color w:val="1C1C1C"/>
          <w:lang w:val="pt-BR"/>
        </w:rPr>
        <w:t>a</w:t>
      </w:r>
      <w:r w:rsidRPr="002B5194">
        <w:rPr>
          <w:rFonts w:ascii="Times New Roman" w:hAnsi="Times New Roman" w:cs="Times New Roman"/>
          <w:color w:val="1C1C1C"/>
          <w:lang w:val="pt-BR"/>
        </w:rPr>
        <w:t xml:space="preserve"> completação inteligente em poços em até 3 zonas e completação inferior desacoplada </w:t>
      </w:r>
      <w:r w:rsidR="00E24A22">
        <w:rPr>
          <w:rFonts w:ascii="Times New Roman" w:hAnsi="Times New Roman" w:cs="Times New Roman"/>
          <w:color w:val="1C1C1C"/>
          <w:lang w:val="pt-BR"/>
        </w:rPr>
        <w:t>em</w:t>
      </w:r>
      <w:r w:rsidRPr="002B5194">
        <w:rPr>
          <w:rFonts w:ascii="Times New Roman" w:hAnsi="Times New Roman" w:cs="Times New Roman"/>
          <w:color w:val="1C1C1C"/>
          <w:lang w:val="pt-BR"/>
        </w:rPr>
        <w:t xml:space="preserve"> poço aberto de 12 ¼” nos projetos de poços de desen</w:t>
      </w:r>
      <w:r w:rsidR="00E24A22">
        <w:rPr>
          <w:rFonts w:ascii="Times New Roman" w:hAnsi="Times New Roman" w:cs="Times New Roman"/>
          <w:color w:val="1C1C1C"/>
          <w:lang w:val="pt-BR"/>
        </w:rPr>
        <w:t>volvimento de produção do pré-sal.</w:t>
      </w:r>
    </w:p>
    <w:p w:rsidR="002B5194" w:rsidRDefault="002B5194" w:rsidP="002B5194">
      <w:pPr>
        <w:autoSpaceDE w:val="0"/>
        <w:autoSpaceDN w:val="0"/>
        <w:adjustRightInd w:val="0"/>
        <w:spacing w:after="0" w:line="240" w:lineRule="auto"/>
        <w:jc w:val="both"/>
        <w:rPr>
          <w:rFonts w:ascii="Times New Roman" w:hAnsi="Times New Roman" w:cs="Times New Roman"/>
          <w:color w:val="1C1C1C"/>
          <w:lang w:val="pt-BR"/>
        </w:rPr>
      </w:pPr>
      <w:r w:rsidRPr="002B5194">
        <w:rPr>
          <w:rFonts w:ascii="Times New Roman" w:hAnsi="Times New Roman" w:cs="Times New Roman"/>
          <w:color w:val="1C1C1C"/>
          <w:lang w:val="pt-BR"/>
        </w:rPr>
        <w:t>Um dos pontos mais críticos para implantação da solução PACI 3 zonas é o desenvolvimento da SSD de 9 ⅞”, com a shifter correspondente</w:t>
      </w:r>
      <w:r w:rsidR="00E24A22">
        <w:rPr>
          <w:rFonts w:ascii="Times New Roman" w:hAnsi="Times New Roman" w:cs="Times New Roman"/>
          <w:color w:val="1C1C1C"/>
          <w:lang w:val="pt-BR"/>
        </w:rPr>
        <w:t xml:space="preserve"> (válvula de fluxo com camisa deslizante e acionamento mecânico)</w:t>
      </w:r>
      <w:r w:rsidRPr="002B5194">
        <w:rPr>
          <w:rFonts w:ascii="Times New Roman" w:hAnsi="Times New Roman" w:cs="Times New Roman"/>
          <w:color w:val="1C1C1C"/>
          <w:lang w:val="pt-BR"/>
        </w:rPr>
        <w:t>.</w:t>
      </w:r>
    </w:p>
    <w:p w:rsidR="00E24A22" w:rsidRPr="002B5194" w:rsidRDefault="00E24A22" w:rsidP="002B5194">
      <w:pPr>
        <w:autoSpaceDE w:val="0"/>
        <w:autoSpaceDN w:val="0"/>
        <w:adjustRightInd w:val="0"/>
        <w:spacing w:after="0" w:line="240" w:lineRule="auto"/>
        <w:jc w:val="both"/>
        <w:rPr>
          <w:rFonts w:ascii="Times New Roman" w:hAnsi="Times New Roman" w:cs="Times New Roman"/>
          <w:color w:val="1C1C1C"/>
          <w:lang w:val="pt-BR"/>
        </w:rPr>
      </w:pPr>
      <w:r>
        <w:rPr>
          <w:rFonts w:ascii="Times New Roman" w:hAnsi="Times New Roman" w:cs="Times New Roman"/>
          <w:color w:val="1C1C1C"/>
          <w:lang w:val="pt-BR"/>
        </w:rPr>
        <w:t>Foram selecionad</w:t>
      </w:r>
      <w:r w:rsidR="00B16732">
        <w:rPr>
          <w:rFonts w:ascii="Times New Roman" w:hAnsi="Times New Roman" w:cs="Times New Roman"/>
          <w:color w:val="1C1C1C"/>
          <w:lang w:val="pt-BR"/>
        </w:rPr>
        <w:t>o</w:t>
      </w:r>
      <w:r>
        <w:rPr>
          <w:rFonts w:ascii="Times New Roman" w:hAnsi="Times New Roman" w:cs="Times New Roman"/>
          <w:color w:val="1C1C1C"/>
          <w:lang w:val="pt-BR"/>
        </w:rPr>
        <w:t xml:space="preserve">s 5 diferentes projetos de poços para o cenário do pré-sal, comparados com o caso </w:t>
      </w:r>
      <w:r w:rsidR="00B16732">
        <w:rPr>
          <w:rFonts w:ascii="Times New Roman" w:hAnsi="Times New Roman" w:cs="Times New Roman"/>
          <w:color w:val="1C1C1C"/>
          <w:lang w:val="pt-BR"/>
        </w:rPr>
        <w:t xml:space="preserve">basecom a </w:t>
      </w:r>
      <w:r>
        <w:rPr>
          <w:rFonts w:ascii="Times New Roman" w:hAnsi="Times New Roman" w:cs="Times New Roman"/>
          <w:color w:val="1C1C1C"/>
          <w:lang w:val="pt-BR"/>
        </w:rPr>
        <w:t>utilização da CI convencional</w:t>
      </w:r>
      <w:r w:rsidR="00B16732">
        <w:rPr>
          <w:rFonts w:ascii="Times New Roman" w:hAnsi="Times New Roman" w:cs="Times New Roman"/>
          <w:color w:val="1C1C1C"/>
          <w:lang w:val="pt-BR"/>
        </w:rPr>
        <w:t xml:space="preserve">. Para a definição do projeto de poço (e definição de requisitos de confiabilidade para os equipamentos que deverão ser desenvolvidos) foi desenvolvida uma metodologia baseada na construção de uma topologia entrópica para cada projeto de poço considerado (e caso base convencional) e subsequente aplicação de fluxo geométrico diferencial para definição da energia necessária para dissipação das incertezas de cada projeto. O critério de ranqueamento é o de menor energia e menor tempo de extinção da variedade entrópica – projeto de poço. Duas conjecturas foram propostas </w:t>
      </w:r>
      <w:r w:rsidR="00311075">
        <w:rPr>
          <w:rFonts w:ascii="Times New Roman" w:hAnsi="Times New Roman" w:cs="Times New Roman"/>
          <w:color w:val="1C1C1C"/>
          <w:lang w:val="pt-BR"/>
        </w:rPr>
        <w:t xml:space="preserve">como fundamentais para </w:t>
      </w:r>
      <w:r w:rsidR="00B16732">
        <w:rPr>
          <w:rFonts w:ascii="Times New Roman" w:hAnsi="Times New Roman" w:cs="Times New Roman"/>
          <w:color w:val="1C1C1C"/>
          <w:lang w:val="pt-BR"/>
        </w:rPr>
        <w:t>esse estudo.</w:t>
      </w:r>
    </w:p>
    <w:p w:rsidR="00D162E0" w:rsidRPr="00E24A22" w:rsidRDefault="00D162E0" w:rsidP="004A7C59">
      <w:pPr>
        <w:jc w:val="both"/>
        <w:rPr>
          <w:rFonts w:ascii="Times New Roman" w:hAnsi="Times New Roman" w:cs="Times New Roman"/>
          <w:color w:val="222222"/>
          <w:sz w:val="24"/>
          <w:szCs w:val="24"/>
          <w:lang w:val="pt-BR"/>
        </w:rPr>
      </w:pPr>
    </w:p>
    <w:p w:rsidR="00D162E0" w:rsidRPr="00C61F09" w:rsidRDefault="00665D0B"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PACI 3 ZONAS</w:t>
      </w:r>
    </w:p>
    <w:p w:rsidR="00541FAF" w:rsidRPr="00C61F09"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665D0B" w:rsidRPr="00665D0B" w:rsidRDefault="00665D0B" w:rsidP="00665D0B">
      <w:pPr>
        <w:jc w:val="both"/>
        <w:rPr>
          <w:rFonts w:ascii="Times New Roman" w:hAnsi="Times New Roman" w:cs="Times New Roman"/>
          <w:color w:val="1C1C1C"/>
          <w:szCs w:val="24"/>
          <w:lang w:val="pt-BR"/>
        </w:rPr>
      </w:pPr>
      <w:r w:rsidRPr="00665D0B">
        <w:rPr>
          <w:rFonts w:ascii="Times New Roman" w:hAnsi="Times New Roman" w:cs="Times New Roman"/>
          <w:color w:val="1C1C1C"/>
          <w:szCs w:val="24"/>
          <w:lang w:val="pt-BR"/>
        </w:rPr>
        <w:t>O PACI 3 Zonas busca eliminar as desvantagens identificadas para CI convencional e PACI 2+1, devendo atender ao escopo de controle remoto independente de 3 intervalos e a melhora na previsibilidade das operações de Heavy Workover, minimizando riscos inerentes às operações de retirada de coluna com formação exposta.</w:t>
      </w:r>
    </w:p>
    <w:p w:rsidR="002A4355" w:rsidRDefault="00665D0B" w:rsidP="00665D0B">
      <w:pPr>
        <w:jc w:val="both"/>
        <w:rPr>
          <w:rFonts w:ascii="Times New Roman" w:hAnsi="Times New Roman" w:cs="Times New Roman"/>
          <w:color w:val="1C1C1C"/>
          <w:szCs w:val="24"/>
          <w:lang w:val="pt-BR"/>
        </w:rPr>
      </w:pPr>
      <w:r w:rsidRPr="00665D0B">
        <w:rPr>
          <w:rFonts w:ascii="Times New Roman" w:hAnsi="Times New Roman" w:cs="Times New Roman"/>
          <w:color w:val="1C1C1C"/>
          <w:szCs w:val="24"/>
          <w:lang w:val="pt-BR"/>
        </w:rPr>
        <w:t>A fase inicial do desenvolvimento da configuração contemplou a elaboração de 5 alternativas, de (A à E) em poço aberto de 12 ¼”, com coluna de completação instalada em duas manobras (completação inferior e superior), que permitissem altas vazões de produção.</w:t>
      </w:r>
    </w:p>
    <w:p w:rsidR="003A5313" w:rsidRPr="003A5313" w:rsidRDefault="003A5313" w:rsidP="00665D0B">
      <w:pPr>
        <w:jc w:val="both"/>
        <w:rPr>
          <w:rFonts w:ascii="Times New Roman" w:hAnsi="Times New Roman" w:cs="Times New Roman"/>
          <w:b/>
          <w:color w:val="1C1C1C"/>
          <w:szCs w:val="24"/>
          <w:lang w:val="pt-BR"/>
        </w:rPr>
      </w:pPr>
      <w:r w:rsidRPr="003A5313">
        <w:rPr>
          <w:rFonts w:ascii="Times New Roman" w:hAnsi="Times New Roman" w:cs="Times New Roman"/>
          <w:b/>
          <w:color w:val="1C1C1C"/>
          <w:szCs w:val="24"/>
          <w:lang w:val="pt-BR"/>
        </w:rPr>
        <w:t>1.1. Alternativa A</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Esta alternativa, ilustrada na Figura1, consiste em:</w:t>
      </w:r>
    </w:p>
    <w:p w:rsidR="003A5313" w:rsidRPr="003A5313" w:rsidRDefault="00686800"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⅞” com extremidade tamponada:</w:t>
      </w:r>
    </w:p>
    <w:p w:rsidR="003A5313" w:rsidRPr="00686800" w:rsidRDefault="003A5313" w:rsidP="00686800">
      <w:pPr>
        <w:pStyle w:val="PargrafodaLista"/>
        <w:numPr>
          <w:ilvl w:val="0"/>
          <w:numId w:val="17"/>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LinerHanger e Liner Packer de 9 ⅞”,</w:t>
      </w:r>
    </w:p>
    <w:p w:rsidR="00D969EA" w:rsidRPr="00686800" w:rsidRDefault="003A5313" w:rsidP="00686800">
      <w:pPr>
        <w:pStyle w:val="PargrafodaLista"/>
        <w:numPr>
          <w:ilvl w:val="0"/>
          <w:numId w:val="17"/>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Barreiras mecânicas de anular e</w:t>
      </w:r>
    </w:p>
    <w:p w:rsidR="003A5313" w:rsidRPr="00686800" w:rsidRDefault="003A5313" w:rsidP="00686800">
      <w:pPr>
        <w:pStyle w:val="PargrafodaLista"/>
        <w:numPr>
          <w:ilvl w:val="0"/>
          <w:numId w:val="17"/>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Válvulas de camisa deslizante de 9 ⅞” de acionamento mecânico em cada intervalo.</w:t>
      </w:r>
    </w:p>
    <w:p w:rsidR="003A5313" w:rsidRPr="003A5313" w:rsidRDefault="00686800"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lastRenderedPageBreak/>
        <w:t xml:space="preserve">• </w:t>
      </w:r>
      <w:r w:rsidR="003A5313" w:rsidRPr="003A5313">
        <w:rPr>
          <w:rFonts w:ascii="Times New Roman" w:hAnsi="Times New Roman" w:cs="Times New Roman"/>
          <w:color w:val="1C1C1C"/>
          <w:szCs w:val="24"/>
          <w:lang w:val="pt-BR"/>
        </w:rPr>
        <w:t>Completação Superior (inteligente):</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ICVs;</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Packer Copo</w:t>
      </w:r>
    </w:p>
    <w:p w:rsidR="003A5313" w:rsidRPr="00686800" w:rsidRDefault="003A5313" w:rsidP="00686800">
      <w:pPr>
        <w:pStyle w:val="PargrafodaLista"/>
        <w:numPr>
          <w:ilvl w:val="0"/>
          <w:numId w:val="19"/>
        </w:numPr>
        <w:jc w:val="both"/>
        <w:rPr>
          <w:rFonts w:ascii="Times New Roman" w:hAnsi="Times New Roman" w:cs="Times New Roman"/>
          <w:color w:val="1C1C1C"/>
          <w:szCs w:val="24"/>
        </w:rPr>
      </w:pPr>
      <w:r w:rsidRPr="00686800">
        <w:rPr>
          <w:rFonts w:ascii="Times New Roman" w:hAnsi="Times New Roman" w:cs="Times New Roman"/>
          <w:color w:val="1C1C1C"/>
          <w:szCs w:val="24"/>
        </w:rPr>
        <w:t>Packers Feed-thru (porintervalo)</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MPDG (por intervalo);</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MIQ;</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Shifters residentes para acionamento das válvulas instaladas na cauda e</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Bull Plug.</w:t>
      </w:r>
    </w:p>
    <w:p w:rsidR="003A5313" w:rsidRPr="003A5313" w:rsidRDefault="003A5313" w:rsidP="003A5313">
      <w:pPr>
        <w:jc w:val="both"/>
        <w:rPr>
          <w:rFonts w:ascii="Times New Roman" w:hAnsi="Times New Roman" w:cs="Times New Roman"/>
          <w:color w:val="1C1C1C"/>
          <w:szCs w:val="24"/>
          <w:lang w:val="pt-BR"/>
        </w:rPr>
      </w:pPr>
    </w:p>
    <w:p w:rsidR="003A5313" w:rsidRDefault="003A5313" w:rsidP="003A5313">
      <w:pPr>
        <w:pStyle w:val="Texto"/>
        <w:ind w:left="0" w:firstLine="0"/>
        <w:jc w:val="center"/>
        <w:rPr>
          <w:lang w:eastAsia="ar-SA"/>
        </w:rPr>
      </w:pPr>
      <w:r>
        <w:rPr>
          <w:noProof/>
        </w:rPr>
        <w:drawing>
          <wp:inline distT="0" distB="0" distL="0" distR="0">
            <wp:extent cx="2243191" cy="3810000"/>
            <wp:effectExtent l="0" t="0" r="5080" b="0"/>
            <wp:docPr id="49"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48861" cy="3819630"/>
                    </a:xfrm>
                    <a:prstGeom prst="rect">
                      <a:avLst/>
                    </a:prstGeom>
                  </pic:spPr>
                </pic:pic>
              </a:graphicData>
            </a:graphic>
          </wp:inline>
        </w:drawing>
      </w:r>
    </w:p>
    <w:p w:rsidR="003A5313" w:rsidRDefault="003A5313" w:rsidP="003A5313">
      <w:pPr>
        <w:pStyle w:val="Texto"/>
        <w:rPr>
          <w:lang w:eastAsia="ar-SA"/>
        </w:rPr>
      </w:pPr>
      <w:r>
        <w:rPr>
          <w:lang w:eastAsia="ar-SA"/>
        </w:rPr>
        <w:t xml:space="preserve">                                                 (a)                         (b)</w:t>
      </w:r>
    </w:p>
    <w:p w:rsidR="003A5313" w:rsidRPr="003A5313" w:rsidRDefault="003A5313" w:rsidP="00F17A25">
      <w:pPr>
        <w:jc w:val="center"/>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Fig</w:t>
      </w:r>
      <w:r w:rsidR="00D969EA">
        <w:rPr>
          <w:rFonts w:ascii="Times New Roman" w:hAnsi="Times New Roman" w:cs="Times New Roman"/>
          <w:color w:val="1C1C1C"/>
          <w:szCs w:val="24"/>
          <w:lang w:val="pt-BR"/>
        </w:rPr>
        <w:t>ura 1</w:t>
      </w:r>
      <w:r w:rsidRPr="003A5313">
        <w:rPr>
          <w:rFonts w:ascii="Times New Roman" w:hAnsi="Times New Roman" w:cs="Times New Roman"/>
          <w:color w:val="1C1C1C"/>
          <w:szCs w:val="24"/>
          <w:lang w:val="pt-BR"/>
        </w:rPr>
        <w:t>: (a) a cauda de 9 ⅞” e (b) completação superior no interior da cauda.</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Após instalação da cauda, o Liner Packer, os tubos e as válvulas mecânicas fechadas promovem o isolamento da formação durante a descida da completação, viabilizando esta operação, inclusive, em ambientes de perda total de fluido.</w:t>
      </w:r>
    </w:p>
    <w:p w:rsidR="003A5313" w:rsidRPr="003A5313" w:rsidRDefault="003A5313" w:rsidP="003A5313">
      <w:p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1.2</w:t>
      </w:r>
      <w:r w:rsidRPr="003A5313">
        <w:rPr>
          <w:rFonts w:ascii="Times New Roman" w:hAnsi="Times New Roman" w:cs="Times New Roman"/>
          <w:b/>
          <w:color w:val="1C1C1C"/>
          <w:szCs w:val="24"/>
          <w:lang w:val="pt-BR"/>
        </w:rPr>
        <w:t xml:space="preserve"> Alternativa</w:t>
      </w:r>
      <w:r>
        <w:rPr>
          <w:rFonts w:ascii="Times New Roman" w:hAnsi="Times New Roman" w:cs="Times New Roman"/>
          <w:b/>
          <w:color w:val="1C1C1C"/>
          <w:szCs w:val="24"/>
          <w:lang w:val="pt-BR"/>
        </w:rPr>
        <w:t xml:space="preserve"> B</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 xml:space="preserve">Esta alternativa, ilustrada na Figura </w:t>
      </w:r>
      <w:r w:rsidR="00686800">
        <w:rPr>
          <w:rFonts w:ascii="Times New Roman" w:hAnsi="Times New Roman" w:cs="Times New Roman"/>
          <w:color w:val="1C1C1C"/>
          <w:szCs w:val="24"/>
          <w:lang w:val="pt-BR"/>
        </w:rPr>
        <w:t>2</w:t>
      </w:r>
      <w:r w:rsidRPr="003A5313">
        <w:rPr>
          <w:rFonts w:ascii="Times New Roman" w:hAnsi="Times New Roman" w:cs="Times New Roman"/>
          <w:color w:val="1C1C1C"/>
          <w:szCs w:val="24"/>
          <w:lang w:val="pt-BR"/>
        </w:rPr>
        <w:t>, consiste em:</w:t>
      </w:r>
    </w:p>
    <w:p w:rsidR="003A5313" w:rsidRPr="003A5313" w:rsidRDefault="00686800"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⅞” com extremidade tamponada</w:t>
      </w:r>
    </w:p>
    <w:p w:rsidR="003A5313" w:rsidRPr="00686800" w:rsidRDefault="003A5313" w:rsidP="00686800">
      <w:pPr>
        <w:pStyle w:val="PargrafodaLista"/>
        <w:numPr>
          <w:ilvl w:val="0"/>
          <w:numId w:val="21"/>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LinerHanger e Packer de 9 ⅞”;</w:t>
      </w:r>
    </w:p>
    <w:p w:rsidR="003A5313" w:rsidRPr="00686800" w:rsidRDefault="003A5313" w:rsidP="00686800">
      <w:pPr>
        <w:pStyle w:val="PargrafodaLista"/>
        <w:numPr>
          <w:ilvl w:val="0"/>
          <w:numId w:val="21"/>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Barreiras mecânicas de anular;</w:t>
      </w:r>
    </w:p>
    <w:p w:rsidR="003A5313" w:rsidRPr="00686800" w:rsidRDefault="003A5313" w:rsidP="00686800">
      <w:pPr>
        <w:pStyle w:val="PargrafodaLista"/>
        <w:numPr>
          <w:ilvl w:val="0"/>
          <w:numId w:val="21"/>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Extensões selantes (Superfícies polidas) e</w:t>
      </w:r>
    </w:p>
    <w:p w:rsidR="003A5313" w:rsidRPr="00686800" w:rsidRDefault="003A5313" w:rsidP="00686800">
      <w:pPr>
        <w:pStyle w:val="PargrafodaLista"/>
        <w:numPr>
          <w:ilvl w:val="0"/>
          <w:numId w:val="21"/>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Válvulas de camisa deslizante de acionamento mecânico de 9 ⅞” em cada intervalo.</w:t>
      </w:r>
    </w:p>
    <w:p w:rsidR="003A5313" w:rsidRPr="003A5313" w:rsidRDefault="00686800"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Inteligente:</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lastRenderedPageBreak/>
        <w:t>ICV (por intervalo);</w:t>
      </w:r>
    </w:p>
    <w:p w:rsidR="003A5313" w:rsidRPr="00F17A25" w:rsidRDefault="003A5313" w:rsidP="00F17A25">
      <w:pPr>
        <w:pStyle w:val="PargrafodaLista"/>
        <w:numPr>
          <w:ilvl w:val="0"/>
          <w:numId w:val="22"/>
        </w:numPr>
        <w:jc w:val="both"/>
        <w:rPr>
          <w:rFonts w:ascii="Times New Roman" w:hAnsi="Times New Roman" w:cs="Times New Roman"/>
          <w:color w:val="1C1C1C"/>
          <w:szCs w:val="24"/>
        </w:rPr>
      </w:pPr>
      <w:r w:rsidRPr="00F17A25">
        <w:rPr>
          <w:rFonts w:ascii="Times New Roman" w:hAnsi="Times New Roman" w:cs="Times New Roman"/>
          <w:color w:val="1C1C1C"/>
          <w:szCs w:val="24"/>
        </w:rPr>
        <w:t>Packer Copo</w:t>
      </w:r>
    </w:p>
    <w:p w:rsidR="003A5313" w:rsidRPr="00F17A25" w:rsidRDefault="003A5313" w:rsidP="00F17A25">
      <w:pPr>
        <w:pStyle w:val="PargrafodaLista"/>
        <w:numPr>
          <w:ilvl w:val="0"/>
          <w:numId w:val="22"/>
        </w:numPr>
        <w:jc w:val="both"/>
        <w:rPr>
          <w:rFonts w:ascii="Times New Roman" w:hAnsi="Times New Roman" w:cs="Times New Roman"/>
          <w:color w:val="1C1C1C"/>
          <w:szCs w:val="24"/>
        </w:rPr>
      </w:pPr>
      <w:r w:rsidRPr="00F17A25">
        <w:rPr>
          <w:rFonts w:ascii="Times New Roman" w:hAnsi="Times New Roman" w:cs="Times New Roman"/>
          <w:color w:val="1C1C1C"/>
          <w:szCs w:val="24"/>
        </w:rPr>
        <w:t>Packer Feed-through (intervalo superior);</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Mandril de “Conjunto de Selos Feed-through” (SSA) (intervalos intermediário e inferior);</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MPDG (por intervalo);</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MIQ;</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Shifters residentes para acionamento das válvulas instaladas na cauda; e</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Bull Plug.</w:t>
      </w:r>
    </w:p>
    <w:p w:rsidR="00D60F70" w:rsidRDefault="00D60F70" w:rsidP="00D60F70">
      <w:pPr>
        <w:pStyle w:val="Texto"/>
        <w:ind w:left="0" w:firstLine="0"/>
        <w:jc w:val="center"/>
        <w:rPr>
          <w:lang w:eastAsia="ar-SA"/>
        </w:rPr>
      </w:pPr>
      <w:r>
        <w:rPr>
          <w:noProof/>
        </w:rPr>
        <w:drawing>
          <wp:inline distT="0" distB="0" distL="0" distR="0">
            <wp:extent cx="2343150" cy="3913559"/>
            <wp:effectExtent l="0" t="0" r="0" b="0"/>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56220" cy="3935389"/>
                    </a:xfrm>
                    <a:prstGeom prst="rect">
                      <a:avLst/>
                    </a:prstGeom>
                  </pic:spPr>
                </pic:pic>
              </a:graphicData>
            </a:graphic>
          </wp:inline>
        </w:drawing>
      </w:r>
    </w:p>
    <w:p w:rsidR="00D60F70" w:rsidRDefault="00D60F70" w:rsidP="00D60F70">
      <w:pPr>
        <w:pStyle w:val="Texto"/>
        <w:ind w:left="0" w:firstLine="0"/>
        <w:rPr>
          <w:lang w:eastAsia="ar-SA"/>
        </w:rPr>
      </w:pPr>
      <w:r>
        <w:rPr>
          <w:lang w:eastAsia="ar-SA"/>
        </w:rPr>
        <w:t xml:space="preserve"> (a)                         (b)</w:t>
      </w:r>
    </w:p>
    <w:p w:rsidR="003A5313" w:rsidRPr="003A5313" w:rsidRDefault="003A5313" w:rsidP="00F17A25">
      <w:pPr>
        <w:jc w:val="center"/>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Figura 2: (a) cauda de 9 ⅞” e (b) completação superior no interior da cauda.</w:t>
      </w:r>
    </w:p>
    <w:p w:rsidR="001F36AA" w:rsidRDefault="001F36AA" w:rsidP="003A5313">
      <w:pPr>
        <w:jc w:val="both"/>
        <w:rPr>
          <w:rFonts w:ascii="Times New Roman" w:hAnsi="Times New Roman" w:cs="Times New Roman"/>
          <w:b/>
          <w:color w:val="1C1C1C"/>
          <w:szCs w:val="24"/>
          <w:lang w:val="pt-BR"/>
        </w:rPr>
      </w:pPr>
    </w:p>
    <w:p w:rsidR="003A5313" w:rsidRPr="003A5313" w:rsidRDefault="00F17A25" w:rsidP="003A5313">
      <w:p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1.3</w:t>
      </w:r>
      <w:r w:rsidRPr="003A5313">
        <w:rPr>
          <w:rFonts w:ascii="Times New Roman" w:hAnsi="Times New Roman" w:cs="Times New Roman"/>
          <w:b/>
          <w:color w:val="1C1C1C"/>
          <w:szCs w:val="24"/>
          <w:lang w:val="pt-BR"/>
        </w:rPr>
        <w:t>Alternativa</w:t>
      </w:r>
      <w:r w:rsidR="003A5313">
        <w:rPr>
          <w:rFonts w:ascii="Times New Roman" w:hAnsi="Times New Roman" w:cs="Times New Roman"/>
          <w:b/>
          <w:color w:val="1C1C1C"/>
          <w:szCs w:val="24"/>
          <w:lang w:val="pt-BR"/>
        </w:rPr>
        <w:t>C</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Esta alternativa, ilustrada na Figura 3, consiste em:</w:t>
      </w:r>
    </w:p>
    <w:p w:rsidR="003A5313" w:rsidRPr="003A5313" w:rsidRDefault="00F17A25"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⅞” com extremidade tamponada</w:t>
      </w:r>
    </w:p>
    <w:p w:rsidR="003A5313" w:rsidRPr="00F17A25" w:rsidRDefault="003A5313" w:rsidP="00F17A25">
      <w:pPr>
        <w:pStyle w:val="PargrafodaLista"/>
        <w:numPr>
          <w:ilvl w:val="0"/>
          <w:numId w:val="23"/>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LinerHanger e Liner Packer de 9 ⅞”;</w:t>
      </w:r>
    </w:p>
    <w:p w:rsidR="003A5313" w:rsidRPr="00F17A25" w:rsidRDefault="003A5313" w:rsidP="00F17A25">
      <w:pPr>
        <w:pStyle w:val="PargrafodaLista"/>
        <w:numPr>
          <w:ilvl w:val="0"/>
          <w:numId w:val="23"/>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Liner com plugues solúveis e discos de ruptura e</w:t>
      </w:r>
    </w:p>
    <w:p w:rsidR="003A5313" w:rsidRPr="00F17A25" w:rsidRDefault="003A5313" w:rsidP="00F17A25">
      <w:pPr>
        <w:pStyle w:val="PargrafodaLista"/>
        <w:numPr>
          <w:ilvl w:val="0"/>
          <w:numId w:val="23"/>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Barreiras mecânicas de anular.</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•Completação Superior (inteligente):</w:t>
      </w:r>
    </w:p>
    <w:p w:rsidR="003A5313" w:rsidRPr="00F17A25" w:rsidRDefault="003A5313" w:rsidP="00F17A25">
      <w:pPr>
        <w:pStyle w:val="PargrafodaLista"/>
        <w:numPr>
          <w:ilvl w:val="0"/>
          <w:numId w:val="24"/>
        </w:numPr>
        <w:jc w:val="both"/>
        <w:rPr>
          <w:rFonts w:ascii="Times New Roman" w:hAnsi="Times New Roman" w:cs="Times New Roman"/>
          <w:color w:val="1C1C1C"/>
          <w:szCs w:val="24"/>
        </w:rPr>
      </w:pPr>
      <w:r w:rsidRPr="00F17A25">
        <w:rPr>
          <w:rFonts w:ascii="Times New Roman" w:hAnsi="Times New Roman" w:cs="Times New Roman"/>
          <w:color w:val="1C1C1C"/>
          <w:szCs w:val="24"/>
        </w:rPr>
        <w:t>ICVs;</w:t>
      </w:r>
    </w:p>
    <w:p w:rsidR="003A5313" w:rsidRPr="00F17A25" w:rsidRDefault="003A5313" w:rsidP="00F17A25">
      <w:pPr>
        <w:pStyle w:val="PargrafodaLista"/>
        <w:numPr>
          <w:ilvl w:val="0"/>
          <w:numId w:val="24"/>
        </w:numPr>
        <w:jc w:val="both"/>
        <w:rPr>
          <w:rFonts w:ascii="Times New Roman" w:hAnsi="Times New Roman" w:cs="Times New Roman"/>
          <w:color w:val="1C1C1C"/>
          <w:szCs w:val="24"/>
        </w:rPr>
      </w:pPr>
      <w:r w:rsidRPr="00F17A25">
        <w:rPr>
          <w:rFonts w:ascii="Times New Roman" w:hAnsi="Times New Roman" w:cs="Times New Roman"/>
          <w:color w:val="1C1C1C"/>
          <w:szCs w:val="24"/>
        </w:rPr>
        <w:t>Packer Copo;</w:t>
      </w:r>
    </w:p>
    <w:p w:rsidR="003A5313" w:rsidRPr="00F17A25" w:rsidRDefault="003A5313" w:rsidP="00F17A25">
      <w:pPr>
        <w:pStyle w:val="PargrafodaLista"/>
        <w:numPr>
          <w:ilvl w:val="0"/>
          <w:numId w:val="24"/>
        </w:numPr>
        <w:jc w:val="both"/>
        <w:rPr>
          <w:rFonts w:ascii="Times New Roman" w:hAnsi="Times New Roman" w:cs="Times New Roman"/>
          <w:color w:val="1C1C1C"/>
          <w:szCs w:val="24"/>
        </w:rPr>
      </w:pPr>
      <w:r w:rsidRPr="00F17A25">
        <w:rPr>
          <w:rFonts w:ascii="Times New Roman" w:hAnsi="Times New Roman" w:cs="Times New Roman"/>
          <w:color w:val="1C1C1C"/>
          <w:szCs w:val="24"/>
        </w:rPr>
        <w:t>Packers Feed-thru (porintervalo);</w:t>
      </w:r>
    </w:p>
    <w:p w:rsidR="003A5313" w:rsidRPr="00F17A25" w:rsidRDefault="003A5313" w:rsidP="00F17A25">
      <w:pPr>
        <w:pStyle w:val="PargrafodaLista"/>
        <w:numPr>
          <w:ilvl w:val="0"/>
          <w:numId w:val="24"/>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MPDG (por intervalo);</w:t>
      </w:r>
    </w:p>
    <w:p w:rsidR="003A5313" w:rsidRPr="00F17A25" w:rsidRDefault="003A5313" w:rsidP="00F17A25">
      <w:pPr>
        <w:pStyle w:val="PargrafodaLista"/>
        <w:numPr>
          <w:ilvl w:val="0"/>
          <w:numId w:val="24"/>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lastRenderedPageBreak/>
        <w:t>MIQ e</w:t>
      </w:r>
    </w:p>
    <w:p w:rsidR="003A5313" w:rsidRPr="00F17A25" w:rsidRDefault="003A5313" w:rsidP="00F17A25">
      <w:pPr>
        <w:pStyle w:val="PargrafodaLista"/>
        <w:numPr>
          <w:ilvl w:val="0"/>
          <w:numId w:val="24"/>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Bull Plug.</w:t>
      </w:r>
    </w:p>
    <w:p w:rsidR="00D60F70" w:rsidRDefault="00D60F70" w:rsidP="00D60F70">
      <w:pPr>
        <w:pStyle w:val="Ttulo3"/>
        <w:numPr>
          <w:ilvl w:val="0"/>
          <w:numId w:val="0"/>
        </w:numPr>
        <w:ind w:left="1004" w:hanging="720"/>
        <w:jc w:val="center"/>
      </w:pPr>
      <w:r>
        <w:rPr>
          <w:b w:val="0"/>
          <w:noProof/>
        </w:rPr>
        <w:drawing>
          <wp:inline distT="0" distB="0" distL="0" distR="0">
            <wp:extent cx="2288625" cy="3943350"/>
            <wp:effectExtent l="0" t="0" r="0" b="0"/>
            <wp:docPr id="51" name="Image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3457" cy="3951676"/>
                    </a:xfrm>
                    <a:prstGeom prst="rect">
                      <a:avLst/>
                    </a:prstGeom>
                  </pic:spPr>
                </pic:pic>
              </a:graphicData>
            </a:graphic>
          </wp:inline>
        </w:drawing>
      </w:r>
    </w:p>
    <w:p w:rsidR="00D60F70" w:rsidRDefault="00D60F70" w:rsidP="00D60F70">
      <w:pPr>
        <w:pStyle w:val="Ttulo3"/>
        <w:numPr>
          <w:ilvl w:val="0"/>
          <w:numId w:val="0"/>
        </w:numPr>
        <w:ind w:left="1004" w:hanging="720"/>
      </w:pPr>
      <w:r>
        <w:t xml:space="preserve">                                                           (a)                          (b) </w:t>
      </w:r>
    </w:p>
    <w:p w:rsidR="003A5313" w:rsidRDefault="003A5313" w:rsidP="00F17A25">
      <w:pPr>
        <w:jc w:val="center"/>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Figura 3: (a) cauda de 9 ⅞” e (b) completação superior no interior da cauda.</w:t>
      </w:r>
    </w:p>
    <w:p w:rsidR="001F36AA" w:rsidRPr="003A5313" w:rsidRDefault="001F36AA" w:rsidP="00F17A25">
      <w:pPr>
        <w:jc w:val="center"/>
        <w:rPr>
          <w:rFonts w:ascii="Times New Roman" w:hAnsi="Times New Roman" w:cs="Times New Roman"/>
          <w:color w:val="1C1C1C"/>
          <w:szCs w:val="24"/>
          <w:lang w:val="pt-BR"/>
        </w:rPr>
      </w:pPr>
    </w:p>
    <w:p w:rsidR="003A5313" w:rsidRPr="003A5313" w:rsidRDefault="003A5313" w:rsidP="003A5313">
      <w:p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1.4</w:t>
      </w:r>
      <w:r w:rsidRPr="003A5313">
        <w:rPr>
          <w:rFonts w:ascii="Times New Roman" w:hAnsi="Times New Roman" w:cs="Times New Roman"/>
          <w:b/>
          <w:color w:val="1C1C1C"/>
          <w:szCs w:val="24"/>
          <w:lang w:val="pt-BR"/>
        </w:rPr>
        <w:t xml:space="preserve"> Alternativa</w:t>
      </w:r>
      <w:r>
        <w:rPr>
          <w:rFonts w:ascii="Times New Roman" w:hAnsi="Times New Roman" w:cs="Times New Roman"/>
          <w:b/>
          <w:color w:val="1C1C1C"/>
          <w:szCs w:val="24"/>
          <w:lang w:val="pt-BR"/>
        </w:rPr>
        <w:t xml:space="preserve"> D</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Esta alternativa, ilustrada na Figura 4, consiste em:</w:t>
      </w:r>
    </w:p>
    <w:p w:rsidR="003A5313" w:rsidRPr="003A5313" w:rsidRDefault="00F17A25"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⅞” com extremidade tamponada:</w:t>
      </w:r>
    </w:p>
    <w:p w:rsidR="003A5313" w:rsidRPr="00F17A25" w:rsidRDefault="003A5313" w:rsidP="00F17A25">
      <w:pPr>
        <w:pStyle w:val="PargrafodaLista"/>
        <w:numPr>
          <w:ilvl w:val="0"/>
          <w:numId w:val="25"/>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LinerHanger e Liner Packer de 9 ⅞”;</w:t>
      </w:r>
    </w:p>
    <w:p w:rsidR="003A5313" w:rsidRPr="00F17A25" w:rsidRDefault="003A5313" w:rsidP="00F17A25">
      <w:pPr>
        <w:pStyle w:val="PargrafodaLista"/>
        <w:numPr>
          <w:ilvl w:val="0"/>
          <w:numId w:val="25"/>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Liner com plugues solúveis e discos de ruptura e</w:t>
      </w:r>
    </w:p>
    <w:p w:rsidR="003A5313" w:rsidRPr="00F17A25" w:rsidRDefault="003A5313" w:rsidP="00F17A25">
      <w:pPr>
        <w:pStyle w:val="PargrafodaLista"/>
        <w:numPr>
          <w:ilvl w:val="0"/>
          <w:numId w:val="25"/>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Barreiras mecânicas de anular. </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•Completação Superior (inteligente):</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ICV (por intervalo);</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Packer Copo</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Packer Feed-thru (intervalo superior);</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Mandril de “Conjunto de Selos Feed-through” (SSA) (intervalos intermediário e inferior);</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MPDG (por intervalo);</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MIQ e</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Bull Plug.</w:t>
      </w:r>
    </w:p>
    <w:p w:rsidR="003A5313" w:rsidRPr="003A5313" w:rsidRDefault="003A5313" w:rsidP="003A5313">
      <w:pPr>
        <w:jc w:val="both"/>
        <w:rPr>
          <w:rFonts w:ascii="Times New Roman" w:hAnsi="Times New Roman" w:cs="Times New Roman"/>
          <w:color w:val="1C1C1C"/>
          <w:szCs w:val="24"/>
          <w:lang w:val="pt-BR"/>
        </w:rPr>
      </w:pPr>
    </w:p>
    <w:p w:rsidR="00D60F70" w:rsidRDefault="00D60F70" w:rsidP="00D60F70">
      <w:pPr>
        <w:pStyle w:val="Ttulo3"/>
        <w:numPr>
          <w:ilvl w:val="0"/>
          <w:numId w:val="0"/>
        </w:numPr>
        <w:ind w:left="1004" w:hanging="720"/>
        <w:jc w:val="center"/>
      </w:pPr>
      <w:r>
        <w:rPr>
          <w:noProof/>
        </w:rPr>
        <w:lastRenderedPageBreak/>
        <w:drawing>
          <wp:inline distT="0" distB="0" distL="0" distR="0">
            <wp:extent cx="2284095" cy="3613863"/>
            <wp:effectExtent l="0" t="0" r="1905" b="5715"/>
            <wp:docPr id="52" name="Image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92707" cy="3627488"/>
                    </a:xfrm>
                    <a:prstGeom prst="rect">
                      <a:avLst/>
                    </a:prstGeom>
                  </pic:spPr>
                </pic:pic>
              </a:graphicData>
            </a:graphic>
          </wp:inline>
        </w:drawing>
      </w:r>
    </w:p>
    <w:p w:rsidR="00D60F70" w:rsidRDefault="00D60F70" w:rsidP="00D60F70">
      <w:pPr>
        <w:pStyle w:val="Ttulo3"/>
        <w:numPr>
          <w:ilvl w:val="0"/>
          <w:numId w:val="0"/>
        </w:numPr>
      </w:pPr>
      <w:r>
        <w:t xml:space="preserve">                                                                 (a)                     (b) </w:t>
      </w:r>
    </w:p>
    <w:p w:rsidR="003A5313" w:rsidRDefault="00F17A25" w:rsidP="00F17A25">
      <w:pPr>
        <w:jc w:val="center"/>
        <w:rPr>
          <w:rFonts w:ascii="Times New Roman" w:hAnsi="Times New Roman" w:cs="Times New Roman"/>
          <w:color w:val="1C1C1C"/>
          <w:szCs w:val="24"/>
          <w:lang w:val="pt-BR"/>
        </w:rPr>
      </w:pPr>
      <w:r>
        <w:rPr>
          <w:rFonts w:ascii="Times New Roman" w:hAnsi="Times New Roman" w:cs="Times New Roman"/>
          <w:color w:val="1C1C1C"/>
          <w:szCs w:val="24"/>
          <w:lang w:val="pt-BR"/>
        </w:rPr>
        <w:t>Figura 4</w:t>
      </w:r>
      <w:r w:rsidR="003A5313" w:rsidRPr="003A5313">
        <w:rPr>
          <w:rFonts w:ascii="Times New Roman" w:hAnsi="Times New Roman" w:cs="Times New Roman"/>
          <w:color w:val="1C1C1C"/>
          <w:szCs w:val="24"/>
          <w:lang w:val="pt-BR"/>
        </w:rPr>
        <w:t>: (a) cauda de 9 ⅞” com plug solúvel e (b) comp</w:t>
      </w:r>
      <w:r w:rsidR="001F36AA">
        <w:rPr>
          <w:rFonts w:ascii="Times New Roman" w:hAnsi="Times New Roman" w:cs="Times New Roman"/>
          <w:color w:val="1C1C1C"/>
          <w:szCs w:val="24"/>
          <w:lang w:val="pt-BR"/>
        </w:rPr>
        <w:t>letação</w:t>
      </w:r>
      <w:r w:rsidR="003A5313" w:rsidRPr="003A5313">
        <w:rPr>
          <w:rFonts w:ascii="Times New Roman" w:hAnsi="Times New Roman" w:cs="Times New Roman"/>
          <w:color w:val="1C1C1C"/>
          <w:szCs w:val="24"/>
          <w:lang w:val="pt-BR"/>
        </w:rPr>
        <w:t xml:space="preserve"> sup</w:t>
      </w:r>
      <w:r w:rsidR="001F36AA">
        <w:rPr>
          <w:rFonts w:ascii="Times New Roman" w:hAnsi="Times New Roman" w:cs="Times New Roman"/>
          <w:color w:val="1C1C1C"/>
          <w:szCs w:val="24"/>
          <w:lang w:val="pt-BR"/>
        </w:rPr>
        <w:t>erior</w:t>
      </w:r>
      <w:r w:rsidR="003A5313" w:rsidRPr="003A5313">
        <w:rPr>
          <w:rFonts w:ascii="Times New Roman" w:hAnsi="Times New Roman" w:cs="Times New Roman"/>
          <w:color w:val="1C1C1C"/>
          <w:szCs w:val="24"/>
          <w:lang w:val="pt-BR"/>
        </w:rPr>
        <w:t xml:space="preserve"> no interior da cauda.</w:t>
      </w:r>
    </w:p>
    <w:p w:rsidR="001F36AA" w:rsidRPr="003A5313" w:rsidRDefault="001F36AA" w:rsidP="00F17A25">
      <w:pPr>
        <w:jc w:val="center"/>
        <w:rPr>
          <w:rFonts w:ascii="Times New Roman" w:hAnsi="Times New Roman" w:cs="Times New Roman"/>
          <w:color w:val="1C1C1C"/>
          <w:szCs w:val="24"/>
          <w:lang w:val="pt-BR"/>
        </w:rPr>
      </w:pPr>
    </w:p>
    <w:p w:rsidR="003A5313" w:rsidRPr="003A5313" w:rsidRDefault="003A5313" w:rsidP="003A5313">
      <w:p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1.5</w:t>
      </w:r>
      <w:r w:rsidRPr="003A5313">
        <w:rPr>
          <w:rFonts w:ascii="Times New Roman" w:hAnsi="Times New Roman" w:cs="Times New Roman"/>
          <w:b/>
          <w:color w:val="1C1C1C"/>
          <w:szCs w:val="24"/>
          <w:lang w:val="pt-BR"/>
        </w:rPr>
        <w:t xml:space="preserve"> Alternativa </w:t>
      </w:r>
      <w:r>
        <w:rPr>
          <w:rFonts w:ascii="Times New Roman" w:hAnsi="Times New Roman" w:cs="Times New Roman"/>
          <w:b/>
          <w:color w:val="1C1C1C"/>
          <w:szCs w:val="24"/>
          <w:lang w:val="pt-BR"/>
        </w:rPr>
        <w:t>E</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Esta alternativa, ilustrada na Figura 5, consiste em:</w:t>
      </w:r>
    </w:p>
    <w:p w:rsidR="003A5313" w:rsidRPr="003A5313" w:rsidRDefault="00F17A25"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7/8” com extremidade tamponada</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LinerHanger e Packer de 9 7/8”;</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Barreiras mecânicas de anular;</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Extensões selantes (Superfícies polidas) e</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01 válvula de camisa deslizante de acionamento mecânico de 9 7/8” </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01 válvula de camisa deslizante de acionamento mecânico de 6 5/8”</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01 válvula de isolamento de fundo (VIF) de 5 ½”</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Liner furado de 5 ½” </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w:t>
      </w:r>
      <w:r w:rsidRPr="003A5313">
        <w:rPr>
          <w:rFonts w:ascii="Times New Roman" w:hAnsi="Times New Roman" w:cs="Times New Roman"/>
          <w:color w:val="1C1C1C"/>
          <w:szCs w:val="24"/>
          <w:lang w:val="pt-BR"/>
        </w:rPr>
        <w:tab/>
        <w:t>Completação Inteligente:</w:t>
      </w:r>
    </w:p>
    <w:p w:rsidR="003A5313" w:rsidRPr="00F17A25" w:rsidRDefault="003A5313" w:rsidP="00F17A25">
      <w:pPr>
        <w:pStyle w:val="PargrafodaLista"/>
        <w:numPr>
          <w:ilvl w:val="0"/>
          <w:numId w:val="28"/>
        </w:numPr>
        <w:jc w:val="both"/>
        <w:rPr>
          <w:rFonts w:ascii="Times New Roman" w:hAnsi="Times New Roman" w:cs="Times New Roman"/>
          <w:color w:val="1C1C1C"/>
          <w:szCs w:val="24"/>
        </w:rPr>
      </w:pPr>
      <w:r w:rsidRPr="00F17A25">
        <w:rPr>
          <w:rFonts w:ascii="Times New Roman" w:hAnsi="Times New Roman" w:cs="Times New Roman"/>
          <w:color w:val="1C1C1C"/>
          <w:szCs w:val="24"/>
        </w:rPr>
        <w:t>Packer Copo;</w:t>
      </w:r>
    </w:p>
    <w:p w:rsidR="003A5313" w:rsidRPr="00F17A25" w:rsidRDefault="003A5313" w:rsidP="00F17A25">
      <w:pPr>
        <w:pStyle w:val="PargrafodaLista"/>
        <w:numPr>
          <w:ilvl w:val="0"/>
          <w:numId w:val="28"/>
        </w:numPr>
        <w:jc w:val="both"/>
        <w:rPr>
          <w:rFonts w:ascii="Times New Roman" w:hAnsi="Times New Roman" w:cs="Times New Roman"/>
          <w:color w:val="1C1C1C"/>
          <w:szCs w:val="24"/>
        </w:rPr>
      </w:pPr>
      <w:r w:rsidRPr="00F17A25">
        <w:rPr>
          <w:rFonts w:ascii="Times New Roman" w:hAnsi="Times New Roman" w:cs="Times New Roman"/>
          <w:color w:val="1C1C1C"/>
          <w:szCs w:val="24"/>
        </w:rPr>
        <w:t>Packer Feed-through (intervalo superior);</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ICV (intervalos superior e intermediário);</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VHIF intervalo inferior;</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Mandril de “Conjunto de Selos Feed-through” (SSA) (intervalo intermediário);</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MPDG (por intervalo);</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MIQ (zonas superior e inferior);</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Locator (zona inferior);</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Shifters residentes para acionamento das válvulas instaladas na cauda e</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lastRenderedPageBreak/>
        <w:t>Bull Plug.</w:t>
      </w:r>
    </w:p>
    <w:p w:rsidR="00D60F70" w:rsidRDefault="00D60F70" w:rsidP="00AD29CD">
      <w:pPr>
        <w:pStyle w:val="Texto"/>
        <w:ind w:left="0" w:firstLine="284"/>
        <w:jc w:val="center"/>
        <w:rPr>
          <w:lang w:eastAsia="ar-SA"/>
        </w:rPr>
      </w:pPr>
      <w:r>
        <w:rPr>
          <w:noProof/>
        </w:rPr>
        <w:drawing>
          <wp:inline distT="0" distB="0" distL="0" distR="0">
            <wp:extent cx="2212821" cy="3629025"/>
            <wp:effectExtent l="0" t="0" r="0" b="0"/>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16153" cy="3634489"/>
                    </a:xfrm>
                    <a:prstGeom prst="rect">
                      <a:avLst/>
                    </a:prstGeom>
                  </pic:spPr>
                </pic:pic>
              </a:graphicData>
            </a:graphic>
          </wp:inline>
        </w:drawing>
      </w:r>
    </w:p>
    <w:p w:rsidR="003A5313" w:rsidRPr="003A5313" w:rsidRDefault="003A5313" w:rsidP="00F17A25">
      <w:pPr>
        <w:ind w:left="3540"/>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(a)</w:t>
      </w:r>
      <w:r w:rsidRPr="003A5313">
        <w:rPr>
          <w:rFonts w:ascii="Times New Roman" w:hAnsi="Times New Roman" w:cs="Times New Roman"/>
          <w:color w:val="1C1C1C"/>
          <w:szCs w:val="24"/>
          <w:lang w:val="pt-BR"/>
        </w:rPr>
        <w:tab/>
        <w:t>(b)</w:t>
      </w:r>
    </w:p>
    <w:p w:rsidR="003A5313" w:rsidRDefault="003A5313" w:rsidP="00AD29CD">
      <w:pPr>
        <w:jc w:val="center"/>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Figura 5: (a) cauda combinad</w:t>
      </w:r>
      <w:r w:rsidR="003150E1">
        <w:rPr>
          <w:rFonts w:ascii="Times New Roman" w:hAnsi="Times New Roman" w:cs="Times New Roman"/>
          <w:color w:val="1C1C1C"/>
          <w:szCs w:val="24"/>
          <w:lang w:val="pt-BR"/>
        </w:rPr>
        <w:t>a 9 ⅞”x 7 ⅝”x 5 ½” e (b) comp</w:t>
      </w:r>
      <w:r w:rsidR="001F36AA">
        <w:rPr>
          <w:rFonts w:ascii="Times New Roman" w:hAnsi="Times New Roman" w:cs="Times New Roman"/>
          <w:color w:val="1C1C1C"/>
          <w:szCs w:val="24"/>
          <w:lang w:val="pt-BR"/>
        </w:rPr>
        <w:t>letação</w:t>
      </w:r>
      <w:r w:rsidR="003150E1">
        <w:rPr>
          <w:rFonts w:ascii="Times New Roman" w:hAnsi="Times New Roman" w:cs="Times New Roman"/>
          <w:color w:val="1C1C1C"/>
          <w:szCs w:val="24"/>
          <w:lang w:val="pt-BR"/>
        </w:rPr>
        <w:t xml:space="preserve"> s</w:t>
      </w:r>
      <w:r w:rsidRPr="003A5313">
        <w:rPr>
          <w:rFonts w:ascii="Times New Roman" w:hAnsi="Times New Roman" w:cs="Times New Roman"/>
          <w:color w:val="1C1C1C"/>
          <w:szCs w:val="24"/>
          <w:lang w:val="pt-BR"/>
        </w:rPr>
        <w:t>up</w:t>
      </w:r>
      <w:r w:rsidR="001F36AA">
        <w:rPr>
          <w:rFonts w:ascii="Times New Roman" w:hAnsi="Times New Roman" w:cs="Times New Roman"/>
          <w:color w:val="1C1C1C"/>
          <w:szCs w:val="24"/>
          <w:lang w:val="pt-BR"/>
        </w:rPr>
        <w:t>erior</w:t>
      </w:r>
      <w:r w:rsidRPr="003A5313">
        <w:rPr>
          <w:rFonts w:ascii="Times New Roman" w:hAnsi="Times New Roman" w:cs="Times New Roman"/>
          <w:color w:val="1C1C1C"/>
          <w:szCs w:val="24"/>
          <w:lang w:val="pt-BR"/>
        </w:rPr>
        <w:t xml:space="preserve"> no interior da cauda.</w:t>
      </w:r>
    </w:p>
    <w:p w:rsidR="001F36AA" w:rsidRPr="003A5313" w:rsidRDefault="001F36AA" w:rsidP="00AD29CD">
      <w:pPr>
        <w:jc w:val="center"/>
        <w:rPr>
          <w:rFonts w:ascii="Times New Roman" w:hAnsi="Times New Roman" w:cs="Times New Roman"/>
          <w:color w:val="1C1C1C"/>
          <w:szCs w:val="24"/>
          <w:lang w:val="pt-BR"/>
        </w:rPr>
      </w:pPr>
    </w:p>
    <w:p w:rsidR="003150E1" w:rsidRPr="003150E1" w:rsidRDefault="003150E1" w:rsidP="003150E1">
      <w:pPr>
        <w:pStyle w:val="PargrafodaLista"/>
        <w:numPr>
          <w:ilvl w:val="1"/>
          <w:numId w:val="29"/>
        </w:num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Completação inteligente convencional</w:t>
      </w:r>
    </w:p>
    <w:p w:rsidR="00295992" w:rsidRPr="00295992" w:rsidRDefault="003A5313" w:rsidP="00295992">
      <w:pPr>
        <w:jc w:val="both"/>
        <w:rPr>
          <w:lang w:val="pt-BR"/>
        </w:rPr>
      </w:pPr>
      <w:r w:rsidRPr="003150E1">
        <w:rPr>
          <w:lang w:val="pt-BR"/>
        </w:rPr>
        <w:t>Completação Inteligente Convencional com coluna integral e bi</w:t>
      </w:r>
      <w:r w:rsidR="003150E1" w:rsidRPr="003150E1">
        <w:rPr>
          <w:lang w:val="pt-BR"/>
        </w:rPr>
        <w:t>-</w:t>
      </w:r>
      <w:r w:rsidRPr="003150E1">
        <w:rPr>
          <w:lang w:val="pt-BR"/>
        </w:rPr>
        <w:t xml:space="preserve">engastada, com válvulas de controle remoto e independente das zonas, conforme mostrado na Figura </w:t>
      </w:r>
      <w:r w:rsidR="003150E1">
        <w:rPr>
          <w:lang w:val="pt-BR"/>
        </w:rPr>
        <w:t>6</w:t>
      </w:r>
      <w:r w:rsidRPr="003150E1">
        <w:rPr>
          <w:lang w:val="pt-BR"/>
        </w:rPr>
        <w:t>.</w:t>
      </w:r>
    </w:p>
    <w:p w:rsidR="00295992" w:rsidRDefault="003A5313" w:rsidP="00295992">
      <w:pPr>
        <w:pStyle w:val="Legenda"/>
        <w:ind w:left="0"/>
        <w:rPr>
          <w:b w:val="0"/>
        </w:rPr>
      </w:pPr>
      <w:r w:rsidRPr="00E77F65">
        <w:rPr>
          <w:noProof/>
        </w:rPr>
        <w:drawing>
          <wp:inline distT="0" distB="0" distL="0" distR="0">
            <wp:extent cx="2076450" cy="2961291"/>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18078"/>
                    <a:stretch/>
                  </pic:blipFill>
                  <pic:spPr bwMode="auto">
                    <a:xfrm>
                      <a:off x="0" y="0"/>
                      <a:ext cx="2088584" cy="297859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3A5313" w:rsidRPr="003150E1" w:rsidRDefault="003A5313" w:rsidP="00295992">
      <w:pPr>
        <w:pStyle w:val="Legenda"/>
        <w:ind w:left="0"/>
        <w:rPr>
          <w:b w:val="0"/>
        </w:rPr>
      </w:pPr>
      <w:r w:rsidRPr="003150E1">
        <w:rPr>
          <w:b w:val="0"/>
        </w:rPr>
        <w:t>Figura</w:t>
      </w:r>
      <w:r w:rsidR="003150E1" w:rsidRPr="003150E1">
        <w:rPr>
          <w:b w:val="0"/>
        </w:rPr>
        <w:t xml:space="preserve"> 6</w:t>
      </w:r>
      <w:r w:rsidRPr="003150E1">
        <w:rPr>
          <w:b w:val="0"/>
        </w:rPr>
        <w:t>:  Ilustração d</w:t>
      </w:r>
      <w:r w:rsidR="003150E1">
        <w:rPr>
          <w:b w:val="0"/>
        </w:rPr>
        <w:t>a</w:t>
      </w:r>
      <w:r w:rsidRPr="003150E1">
        <w:rPr>
          <w:b w:val="0"/>
        </w:rPr>
        <w:t xml:space="preserve"> CI 3 zonas.</w:t>
      </w:r>
    </w:p>
    <w:p w:rsidR="003A5313" w:rsidRPr="003150E1" w:rsidRDefault="003A5313" w:rsidP="003150E1">
      <w:pPr>
        <w:jc w:val="both"/>
        <w:rPr>
          <w:lang w:val="pt-BR"/>
        </w:rPr>
      </w:pPr>
      <w:r w:rsidRPr="003150E1">
        <w:rPr>
          <w:lang w:val="pt-BR"/>
        </w:rPr>
        <w:lastRenderedPageBreak/>
        <w:t>Essa configuração é utilizada em poços com reservatório perfurado em diâmetro de 12 ¼”, revestimento de produção de 9 ⅝” ou 9 ⅞”, cimentado e canhoneado.</w:t>
      </w:r>
    </w:p>
    <w:p w:rsidR="003A5313" w:rsidRPr="003150E1" w:rsidRDefault="003A5313" w:rsidP="003150E1">
      <w:pPr>
        <w:jc w:val="both"/>
        <w:rPr>
          <w:lang w:val="pt-BR"/>
        </w:rPr>
      </w:pPr>
      <w:r w:rsidRPr="003150E1">
        <w:rPr>
          <w:lang w:val="pt-BR"/>
        </w:rPr>
        <w:t>E</w:t>
      </w:r>
      <w:r w:rsidR="003150E1">
        <w:rPr>
          <w:lang w:val="pt-BR"/>
        </w:rPr>
        <w:t xml:space="preserve">sta configuração </w:t>
      </w:r>
      <w:r w:rsidRPr="003150E1">
        <w:rPr>
          <w:lang w:val="pt-BR"/>
        </w:rPr>
        <w:t>apresenta a vantagem de prover gerenciamento remoto e independente de até 3 zonas e ser instalada em manobra única e com todos os equipamentos montados e testados na superfície.</w:t>
      </w:r>
    </w:p>
    <w:p w:rsidR="003A5313" w:rsidRPr="003150E1" w:rsidRDefault="003A5313" w:rsidP="003150E1">
      <w:pPr>
        <w:jc w:val="both"/>
        <w:rPr>
          <w:lang w:val="pt-BR"/>
        </w:rPr>
      </w:pPr>
      <w:r w:rsidRPr="003150E1">
        <w:rPr>
          <w:lang w:val="pt-BR"/>
        </w:rPr>
        <w:t>A coluna de produção é integral, não havendo separação entre completação inferior e superior, o que eleva a complexidade das operações de Heavy Workover e dificultam ou impedem a instalação deste tipo de completação em ambiente de perda total.</w:t>
      </w:r>
    </w:p>
    <w:p w:rsidR="003A5313" w:rsidRPr="003150E1" w:rsidRDefault="003A5313" w:rsidP="003150E1">
      <w:pPr>
        <w:jc w:val="both"/>
        <w:rPr>
          <w:lang w:val="pt-BR"/>
        </w:rPr>
      </w:pPr>
      <w:r w:rsidRPr="003150E1">
        <w:rPr>
          <w:lang w:val="pt-BR"/>
        </w:rPr>
        <w:t>Caso as perdas ocorram na zona intermediária ou inferior, a contingência seria antecipar a descida do revestimento de produção (9 ⅝” ou 9 ⅞”) logo acima da zona de perda e perfurar estes intervalos em 8 ½”, utilizando técnicas MPD. Neste caso, poderia se instalar uma completação inferior para isolar os intervalos inferiores, utilizando técnicas de MPD.</w:t>
      </w:r>
    </w:p>
    <w:p w:rsidR="003A5313" w:rsidRDefault="003A5313" w:rsidP="00665D0B">
      <w:pPr>
        <w:jc w:val="both"/>
        <w:rPr>
          <w:lang w:val="pt-BR"/>
        </w:rPr>
      </w:pPr>
      <w:r w:rsidRPr="003150E1">
        <w:rPr>
          <w:lang w:val="pt-BR"/>
        </w:rPr>
        <w:t xml:space="preserve">Caso ocorra perda total na zona superior, a contingência seria descer o revestimento de produção (9 ⅝” ou 9 ⅞”) no topo do reservatório, perfurar o reservatório em 8 ½” e instalar uma completação simples, ou considerando as técnicas atuais, completar com seletividade em 2 zonas, vide a configuração PACI 2 zonas. Cabe ressaltar que as contingências citadas implicam em complexidade na prontidão e disponibilidade de equipamentos e de sonda com MPD. </w:t>
      </w:r>
    </w:p>
    <w:p w:rsidR="00295992" w:rsidRPr="00665D0B" w:rsidRDefault="00295992" w:rsidP="00665D0B">
      <w:pPr>
        <w:jc w:val="both"/>
        <w:rPr>
          <w:rFonts w:ascii="Times New Roman" w:hAnsi="Times New Roman" w:cs="Times New Roman"/>
          <w:color w:val="1C1C1C"/>
          <w:szCs w:val="24"/>
          <w:lang w:val="pt-BR"/>
        </w:rPr>
      </w:pPr>
    </w:p>
    <w:p w:rsidR="00E01E00" w:rsidRPr="00730A83" w:rsidRDefault="00730A83" w:rsidP="003150E1">
      <w:pPr>
        <w:pStyle w:val="PargrafodaLista"/>
        <w:numPr>
          <w:ilvl w:val="0"/>
          <w:numId w:val="29"/>
        </w:numPr>
        <w:autoSpaceDE w:val="0"/>
        <w:autoSpaceDN w:val="0"/>
        <w:adjustRightInd w:val="0"/>
        <w:spacing w:after="0" w:line="240" w:lineRule="auto"/>
        <w:ind w:left="284" w:hanging="284"/>
        <w:jc w:val="both"/>
        <w:rPr>
          <w:rFonts w:ascii="Times New Roman" w:hAnsi="Times New Roman" w:cs="Times New Roman"/>
          <w:b/>
          <w:color w:val="1C1C1C"/>
          <w:sz w:val="24"/>
          <w:szCs w:val="24"/>
          <w:lang w:val="pt-BR"/>
        </w:rPr>
      </w:pPr>
      <w:r w:rsidRPr="00295992">
        <w:rPr>
          <w:rFonts w:ascii="Times New Roman" w:hAnsi="Times New Roman" w:cs="Times New Roman"/>
          <w:b/>
          <w:color w:val="1C1C1C"/>
          <w:sz w:val="24"/>
          <w:szCs w:val="24"/>
          <w:lang w:val="pt-BR"/>
        </w:rPr>
        <w:t xml:space="preserve">CRITÉRIO DE SELEÇÃO DA ALTERNATIVA </w:t>
      </w:r>
    </w:p>
    <w:p w:rsidR="00726B2F" w:rsidRPr="00730A83" w:rsidRDefault="00726B2F" w:rsidP="004A7C59">
      <w:pPr>
        <w:jc w:val="both"/>
        <w:rPr>
          <w:rFonts w:ascii="Arial" w:hAnsi="Arial" w:cs="Arial"/>
          <w:color w:val="222222"/>
          <w:lang w:val="pt-BR"/>
        </w:rPr>
      </w:pPr>
    </w:p>
    <w:p w:rsidR="00B65283" w:rsidRPr="003150E1" w:rsidRDefault="00B65283" w:rsidP="003150E1">
      <w:pPr>
        <w:jc w:val="both"/>
        <w:rPr>
          <w:lang w:val="pt-BR"/>
        </w:rPr>
      </w:pPr>
      <w:r w:rsidRPr="003150E1">
        <w:rPr>
          <w:lang w:val="pt-BR"/>
        </w:rPr>
        <w:t xml:space="preserve">As alternativas C e D foram descartadas por não atenderem à premissa de segurança de poço, com o isolamento do reservatório para a intervenção de Heavy Workover. </w:t>
      </w:r>
    </w:p>
    <w:p w:rsidR="007D7B45" w:rsidRPr="003150E1" w:rsidRDefault="003150E1" w:rsidP="003150E1">
      <w:pPr>
        <w:jc w:val="both"/>
        <w:rPr>
          <w:lang w:val="pt-BR"/>
        </w:rPr>
      </w:pPr>
      <w:r>
        <w:rPr>
          <w:lang w:val="pt-BR"/>
        </w:rPr>
        <w:t xml:space="preserve">Com as alternativas de projeto de poço restantes, foi </w:t>
      </w:r>
      <w:r w:rsidR="00295992">
        <w:rPr>
          <w:lang w:val="pt-BR"/>
        </w:rPr>
        <w:t xml:space="preserve">desenvolvida e </w:t>
      </w:r>
      <w:r>
        <w:rPr>
          <w:lang w:val="pt-BR"/>
        </w:rPr>
        <w:t>a</w:t>
      </w:r>
      <w:r w:rsidR="00B65283" w:rsidRPr="003150E1">
        <w:rPr>
          <w:lang w:val="pt-BR"/>
        </w:rPr>
        <w:t xml:space="preserve">plicada uma metodologia quantitativa para a determinação da configuração com menor complexidade. </w:t>
      </w:r>
    </w:p>
    <w:p w:rsidR="00B65283" w:rsidRDefault="00673430" w:rsidP="00673430">
      <w:pPr>
        <w:pStyle w:val="PargrafodaLista"/>
        <w:numPr>
          <w:ilvl w:val="1"/>
          <w:numId w:val="29"/>
        </w:num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Análise q</w:t>
      </w:r>
      <w:r w:rsidR="003150E1">
        <w:rPr>
          <w:rFonts w:ascii="Times New Roman" w:hAnsi="Times New Roman" w:cs="Times New Roman"/>
          <w:b/>
          <w:color w:val="1C1C1C"/>
          <w:szCs w:val="24"/>
          <w:lang w:val="pt-BR"/>
        </w:rPr>
        <w:t>uantitativa</w:t>
      </w:r>
    </w:p>
    <w:p w:rsidR="009A0798" w:rsidRDefault="009A0798" w:rsidP="009A0798">
      <w:pPr>
        <w:pStyle w:val="PargrafodaLista"/>
        <w:ind w:left="360"/>
        <w:jc w:val="both"/>
        <w:rPr>
          <w:rFonts w:ascii="Times New Roman" w:hAnsi="Times New Roman" w:cs="Times New Roman"/>
          <w:b/>
          <w:color w:val="1C1C1C"/>
          <w:szCs w:val="24"/>
          <w:lang w:val="pt-BR"/>
        </w:rPr>
      </w:pPr>
    </w:p>
    <w:p w:rsidR="008F40E0" w:rsidRDefault="007D7B45" w:rsidP="007D7B45">
      <w:pPr>
        <w:jc w:val="both"/>
        <w:rPr>
          <w:lang w:val="pt-BR"/>
        </w:rPr>
      </w:pPr>
      <w:r w:rsidRPr="003150E1">
        <w:rPr>
          <w:lang w:val="pt-BR"/>
        </w:rPr>
        <w:t xml:space="preserve">A </w:t>
      </w:r>
      <w:r>
        <w:rPr>
          <w:lang w:val="pt-BR"/>
        </w:rPr>
        <w:t xml:space="preserve">metodologia desenvolvida para esse estudo pode ser </w:t>
      </w:r>
      <w:r w:rsidR="00295992">
        <w:rPr>
          <w:lang w:val="pt-BR"/>
        </w:rPr>
        <w:t>vista em detalhes</w:t>
      </w:r>
      <w:r>
        <w:rPr>
          <w:lang w:val="pt-BR"/>
        </w:rPr>
        <w:t xml:space="preserve"> na figura 7. </w:t>
      </w:r>
    </w:p>
    <w:p w:rsidR="00295992" w:rsidRDefault="00295992" w:rsidP="00295992">
      <w:pPr>
        <w:jc w:val="center"/>
        <w:rPr>
          <w:lang w:val="pt-BR"/>
        </w:rPr>
      </w:pPr>
      <w:r>
        <w:rPr>
          <w:noProof/>
          <w:lang w:val="pt-BR" w:eastAsia="pt-BR"/>
        </w:rPr>
        <w:drawing>
          <wp:inline distT="0" distB="0" distL="0" distR="0">
            <wp:extent cx="5546607" cy="2734436"/>
            <wp:effectExtent l="0" t="0" r="0" b="889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52948" cy="2737562"/>
                    </a:xfrm>
                    <a:prstGeom prst="rect">
                      <a:avLst/>
                    </a:prstGeom>
                    <a:noFill/>
                  </pic:spPr>
                </pic:pic>
              </a:graphicData>
            </a:graphic>
          </wp:inline>
        </w:drawing>
      </w:r>
    </w:p>
    <w:p w:rsidR="008F40E0" w:rsidRPr="003150E1" w:rsidRDefault="008F40E0" w:rsidP="008F40E0">
      <w:pPr>
        <w:jc w:val="center"/>
        <w:rPr>
          <w:lang w:val="pt-BR"/>
        </w:rPr>
      </w:pPr>
      <w:r w:rsidRPr="003150E1">
        <w:rPr>
          <w:lang w:val="pt-BR"/>
        </w:rPr>
        <w:t xml:space="preserve">Figura </w:t>
      </w:r>
      <w:r>
        <w:rPr>
          <w:lang w:val="pt-BR"/>
        </w:rPr>
        <w:t>7</w:t>
      </w:r>
      <w:r w:rsidRPr="003150E1">
        <w:rPr>
          <w:lang w:val="pt-BR"/>
        </w:rPr>
        <w:t xml:space="preserve">: </w:t>
      </w:r>
      <w:r>
        <w:rPr>
          <w:lang w:val="pt-BR"/>
        </w:rPr>
        <w:t>Metodologia desenvolvida.</w:t>
      </w:r>
    </w:p>
    <w:p w:rsidR="007D7B45" w:rsidRDefault="007D7B45" w:rsidP="007D7B45">
      <w:pPr>
        <w:jc w:val="both"/>
        <w:rPr>
          <w:lang w:val="pt-BR"/>
        </w:rPr>
      </w:pPr>
      <w:r>
        <w:rPr>
          <w:lang w:val="pt-BR"/>
        </w:rPr>
        <w:lastRenderedPageBreak/>
        <w:t>O primeiro passo da metodologia considera a análise qualitativa HAZID-HAZOP do projeto de poço utilizando a alternativa tecnológica associada e, a partir daí, são construídos modelos híbridos de confiabilidade que modelam os principais desvios encontrados, com a propagação das suas respectivas incertezas (entropia)</w:t>
      </w:r>
      <w:r w:rsidR="00126850">
        <w:rPr>
          <w:lang w:val="pt-BR"/>
        </w:rPr>
        <w:t>. Nos estados finais de cada modelo</w:t>
      </w:r>
      <w:r w:rsidR="008F40E0">
        <w:rPr>
          <w:lang w:val="pt-BR"/>
        </w:rPr>
        <w:t xml:space="preserve"> híbrido encontramos a função</w:t>
      </w:r>
      <w:r w:rsidR="00126850">
        <w:rPr>
          <w:lang w:val="pt-BR"/>
        </w:rPr>
        <w:t xml:space="preserve"> agregativa de cada um dos caminhos possíveis identificados com suas respectivas incertezas. Aplicando em cada uma dessas funções o “Princípio da Máxima Entropia”, teremos então uma medida de entropia máxima para cada desses fins.</w:t>
      </w:r>
    </w:p>
    <w:p w:rsidR="00476673" w:rsidRDefault="00126850" w:rsidP="007D7B45">
      <w:pPr>
        <w:jc w:val="both"/>
        <w:rPr>
          <w:lang w:val="pt-BR"/>
        </w:rPr>
      </w:pPr>
      <w:r>
        <w:rPr>
          <w:lang w:val="pt-BR"/>
        </w:rPr>
        <w:t>Com essas medidas, aplicamos a “Conjectura I” e construímos uma “variedade entrópica” que representa esse conjunto de máxima entropia do projeto. Essa variedade é uma representação</w:t>
      </w:r>
      <w:r w:rsidR="00B606D6">
        <w:rPr>
          <w:lang w:val="pt-BR"/>
        </w:rPr>
        <w:t xml:space="preserve"> topológica (mudança de domínio)</w:t>
      </w:r>
      <w:r>
        <w:rPr>
          <w:lang w:val="pt-BR"/>
        </w:rPr>
        <w:t xml:space="preserve"> que possibilita a aplicação da “Conjectura II”</w:t>
      </w:r>
      <w:r w:rsidR="00476673">
        <w:rPr>
          <w:lang w:val="pt-BR"/>
        </w:rPr>
        <w:t xml:space="preserve"> que nos levará a medida de complexidade do projeto.</w:t>
      </w:r>
    </w:p>
    <w:p w:rsidR="00476673" w:rsidRDefault="00476673" w:rsidP="007D7B45">
      <w:pPr>
        <w:jc w:val="both"/>
        <w:rPr>
          <w:lang w:val="pt-BR"/>
        </w:rPr>
      </w:pPr>
      <w:r>
        <w:rPr>
          <w:lang w:val="pt-BR"/>
        </w:rPr>
        <w:t>As provas das conjecturas e detalhes metodológicos são bastante extensos para esse trabalho, não sendo foco do presente artigo. No anexo apresentamos mais detalhes sobre a metodologia desenvolvida.</w:t>
      </w:r>
    </w:p>
    <w:p w:rsidR="00B65283" w:rsidRDefault="00B65283" w:rsidP="003150E1">
      <w:pPr>
        <w:jc w:val="both"/>
        <w:rPr>
          <w:lang w:val="pt-BR"/>
        </w:rPr>
      </w:pPr>
      <w:r w:rsidRPr="003150E1">
        <w:rPr>
          <w:lang w:val="pt-BR"/>
        </w:rPr>
        <w:t>Para a</w:t>
      </w:r>
      <w:r w:rsidR="00673430">
        <w:rPr>
          <w:lang w:val="pt-BR"/>
        </w:rPr>
        <w:t xml:space="preserve"> elaboração da primeira </w:t>
      </w:r>
      <w:r w:rsidRPr="003150E1">
        <w:rPr>
          <w:lang w:val="pt-BR"/>
        </w:rPr>
        <w:t xml:space="preserve">etapa deste trabalho, foi </w:t>
      </w:r>
      <w:r w:rsidR="00673430">
        <w:rPr>
          <w:lang w:val="pt-BR"/>
        </w:rPr>
        <w:t xml:space="preserve">aplicada a técnica de </w:t>
      </w:r>
      <w:r w:rsidRPr="003150E1">
        <w:rPr>
          <w:lang w:val="pt-BR"/>
        </w:rPr>
        <w:t>HAZID/HAZOP</w:t>
      </w:r>
      <w:r w:rsidR="00673430">
        <w:rPr>
          <w:lang w:val="pt-BR"/>
        </w:rPr>
        <w:t xml:space="preserve"> das alternativas em estudo</w:t>
      </w:r>
      <w:r w:rsidRPr="003150E1">
        <w:rPr>
          <w:lang w:val="pt-BR"/>
        </w:rPr>
        <w:t xml:space="preserve">,identificando os principais desvios para a intervenções de completação e Heavy Workover, com as respectivas criticidades, que receberam valores inteiros, de 1 a 3, sendo </w:t>
      </w:r>
      <w:r w:rsidR="00673430">
        <w:rPr>
          <w:lang w:val="pt-BR"/>
        </w:rPr>
        <w:t xml:space="preserve">o valor </w:t>
      </w:r>
      <w:r w:rsidRPr="003150E1">
        <w:rPr>
          <w:lang w:val="pt-BR"/>
        </w:rPr>
        <w:t>3 correspondente ao mais crítico.</w:t>
      </w:r>
    </w:p>
    <w:p w:rsidR="00673430" w:rsidRPr="003150E1" w:rsidRDefault="00673430" w:rsidP="003150E1">
      <w:pPr>
        <w:jc w:val="both"/>
        <w:rPr>
          <w:lang w:val="pt-BR"/>
        </w:rPr>
      </w:pPr>
      <w:r>
        <w:rPr>
          <w:lang w:val="pt-BR"/>
        </w:rPr>
        <w:t>A dimensão da criticidade é composta pela frequência, severidade e capacidade de detecção do desvio.</w:t>
      </w:r>
    </w:p>
    <w:p w:rsidR="00B65283" w:rsidRPr="003150E1" w:rsidRDefault="00B65283" w:rsidP="003150E1">
      <w:pPr>
        <w:jc w:val="both"/>
        <w:rPr>
          <w:lang w:val="pt-BR"/>
        </w:rPr>
      </w:pPr>
      <w:r w:rsidRPr="003150E1">
        <w:rPr>
          <w:lang w:val="pt-BR"/>
        </w:rPr>
        <w:t>Os desvios associados à cada alternativa estão destacados e para cada um deles foi criado um modelo de quantificação e propagação de incerteza, conforme mostrado na Tabela 1.</w:t>
      </w:r>
    </w:p>
    <w:p w:rsidR="00B65283" w:rsidRPr="003150E1" w:rsidRDefault="00B65283" w:rsidP="003150E1">
      <w:pPr>
        <w:jc w:val="both"/>
        <w:rPr>
          <w:lang w:val="pt-BR"/>
        </w:rPr>
      </w:pPr>
    </w:p>
    <w:p w:rsidR="00B65283" w:rsidRPr="003150E1" w:rsidRDefault="00B65283" w:rsidP="00AD29CD">
      <w:pPr>
        <w:jc w:val="center"/>
        <w:rPr>
          <w:lang w:val="pt-BR"/>
        </w:rPr>
      </w:pPr>
      <w:r w:rsidRPr="003150E1">
        <w:rPr>
          <w:lang w:val="pt-BR"/>
        </w:rPr>
        <w:t>Tabela 1: Desvios levantados para cada um dos casos analisados.</w:t>
      </w:r>
    </w:p>
    <w:p w:rsidR="00B65283" w:rsidRPr="003150E1" w:rsidRDefault="00B65283" w:rsidP="00AD02E4">
      <w:pPr>
        <w:rPr>
          <w:lang w:val="pt-BR"/>
        </w:rPr>
      </w:pPr>
      <w:r w:rsidRPr="003150E1">
        <w:rPr>
          <w:noProof/>
          <w:lang w:val="pt-BR" w:eastAsia="pt-BR"/>
        </w:rPr>
        <w:drawing>
          <wp:inline distT="0" distB="0" distL="0" distR="0">
            <wp:extent cx="6209414" cy="2625090"/>
            <wp:effectExtent l="0" t="0" r="1270" b="3810"/>
            <wp:docPr id="1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15"/>
                    <a:stretch>
                      <a:fillRect/>
                    </a:stretch>
                  </pic:blipFill>
                  <pic:spPr>
                    <a:xfrm>
                      <a:off x="0" y="0"/>
                      <a:ext cx="6257274" cy="2645323"/>
                    </a:xfrm>
                    <a:prstGeom prst="rect">
                      <a:avLst/>
                    </a:prstGeom>
                  </pic:spPr>
                </pic:pic>
              </a:graphicData>
            </a:graphic>
          </wp:inline>
        </w:drawing>
      </w:r>
    </w:p>
    <w:p w:rsidR="00B65283" w:rsidRDefault="00B65283" w:rsidP="003150E1">
      <w:pPr>
        <w:jc w:val="both"/>
        <w:rPr>
          <w:lang w:val="pt-BR"/>
        </w:rPr>
      </w:pPr>
      <w:r w:rsidRPr="003150E1">
        <w:rPr>
          <w:lang w:val="pt-BR"/>
        </w:rPr>
        <w:t>A</w:t>
      </w:r>
      <w:r w:rsidR="00673430">
        <w:rPr>
          <w:lang w:val="pt-BR"/>
        </w:rPr>
        <w:t xml:space="preserve"> partir do</w:t>
      </w:r>
      <w:r w:rsidRPr="003150E1">
        <w:rPr>
          <w:lang w:val="pt-BR"/>
        </w:rPr>
        <w:t>s</w:t>
      </w:r>
      <w:r w:rsidR="00673430">
        <w:rPr>
          <w:lang w:val="pt-BR"/>
        </w:rPr>
        <w:t xml:space="preserve"> estudos de </w:t>
      </w:r>
      <w:r w:rsidRPr="003150E1">
        <w:rPr>
          <w:lang w:val="pt-BR"/>
        </w:rPr>
        <w:t>HAZID/HAZOP</w:t>
      </w:r>
      <w:r w:rsidR="00673430">
        <w:rPr>
          <w:lang w:val="pt-BR"/>
        </w:rPr>
        <w:t xml:space="preserve"> obtemos </w:t>
      </w:r>
      <w:r w:rsidRPr="003150E1">
        <w:rPr>
          <w:lang w:val="pt-BR"/>
        </w:rPr>
        <w:t>o levantamento de criticidades</w:t>
      </w:r>
      <w:r w:rsidR="00AD02E4">
        <w:rPr>
          <w:lang w:val="pt-BR"/>
        </w:rPr>
        <w:t xml:space="preserve"> (</w:t>
      </w:r>
      <w:r w:rsidRPr="003150E1">
        <w:rPr>
          <w:lang w:val="pt-BR"/>
        </w:rPr>
        <w:t>Tabela 2</w:t>
      </w:r>
      <w:r w:rsidR="00AD02E4">
        <w:rPr>
          <w:lang w:val="pt-BR"/>
        </w:rPr>
        <w:t>)</w:t>
      </w:r>
      <w:r w:rsidRPr="003150E1">
        <w:rPr>
          <w:lang w:val="pt-BR"/>
        </w:rPr>
        <w:t>.</w:t>
      </w:r>
    </w:p>
    <w:p w:rsidR="00AD02E4" w:rsidRPr="003150E1" w:rsidRDefault="00AD02E4" w:rsidP="003150E1">
      <w:pPr>
        <w:jc w:val="both"/>
        <w:rPr>
          <w:lang w:val="pt-BR"/>
        </w:rPr>
      </w:pPr>
    </w:p>
    <w:p w:rsidR="00B65283" w:rsidRPr="003150E1" w:rsidRDefault="00B65283" w:rsidP="00AD29CD">
      <w:pPr>
        <w:jc w:val="center"/>
        <w:rPr>
          <w:lang w:val="pt-BR"/>
        </w:rPr>
      </w:pPr>
      <w:r w:rsidRPr="003150E1">
        <w:rPr>
          <w:lang w:val="pt-BR"/>
        </w:rPr>
        <w:t>Tabela 2: Resumo das criticidades por alternativa para o ciclo de vida do poço.</w:t>
      </w:r>
    </w:p>
    <w:p w:rsidR="00B65283" w:rsidRDefault="00B65283" w:rsidP="00AD29CD">
      <w:pPr>
        <w:jc w:val="center"/>
        <w:rPr>
          <w:lang w:val="pt-BR"/>
        </w:rPr>
      </w:pPr>
      <w:r w:rsidRPr="003150E1">
        <w:rPr>
          <w:noProof/>
          <w:lang w:val="pt-BR" w:eastAsia="pt-BR"/>
        </w:rPr>
        <w:lastRenderedPageBreak/>
        <w:drawing>
          <wp:inline distT="0" distB="0" distL="0" distR="0">
            <wp:extent cx="5400040" cy="774700"/>
            <wp:effectExtent l="0" t="0" r="0" b="6350"/>
            <wp:docPr id="2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5"/>
                    <pic:cNvPicPr>
                      <a:picLocks noChangeAspect="1"/>
                    </pic:cNvPicPr>
                  </pic:nvPicPr>
                  <pic:blipFill>
                    <a:blip r:embed="rId16"/>
                    <a:stretch>
                      <a:fillRect/>
                    </a:stretch>
                  </pic:blipFill>
                  <pic:spPr>
                    <a:xfrm>
                      <a:off x="0" y="0"/>
                      <a:ext cx="5400040" cy="774700"/>
                    </a:xfrm>
                    <a:prstGeom prst="rect">
                      <a:avLst/>
                    </a:prstGeom>
                  </pic:spPr>
                </pic:pic>
              </a:graphicData>
            </a:graphic>
          </wp:inline>
        </w:drawing>
      </w:r>
    </w:p>
    <w:p w:rsidR="0006651D" w:rsidRPr="003150E1" w:rsidRDefault="0006651D" w:rsidP="003150E1">
      <w:pPr>
        <w:jc w:val="both"/>
        <w:rPr>
          <w:lang w:val="pt-BR"/>
        </w:rPr>
      </w:pPr>
      <w:r>
        <w:rPr>
          <w:lang w:val="pt-BR"/>
        </w:rPr>
        <w:t>A Figura 8</w:t>
      </w:r>
      <w:r w:rsidR="00B65283" w:rsidRPr="003150E1">
        <w:rPr>
          <w:lang w:val="pt-BR"/>
        </w:rPr>
        <w:t xml:space="preserve"> mostra, graficamente, a evolução das criticidades, para cada uma das alternativas, na instalação e no Heavy Workover. </w:t>
      </w:r>
    </w:p>
    <w:p w:rsidR="00B65283" w:rsidRPr="003150E1" w:rsidRDefault="00B65283" w:rsidP="003150E1">
      <w:pPr>
        <w:jc w:val="both"/>
        <w:rPr>
          <w:lang w:val="pt-BR"/>
        </w:rPr>
      </w:pPr>
    </w:p>
    <w:p w:rsidR="00B65283" w:rsidRPr="003150E1" w:rsidRDefault="00B65283" w:rsidP="00673430">
      <w:pPr>
        <w:jc w:val="center"/>
        <w:rPr>
          <w:lang w:val="pt-BR"/>
        </w:rPr>
      </w:pPr>
      <w:r w:rsidRPr="003150E1">
        <w:rPr>
          <w:noProof/>
          <w:lang w:val="pt-BR" w:eastAsia="pt-BR"/>
        </w:rPr>
        <w:drawing>
          <wp:inline distT="0" distB="0" distL="0" distR="0">
            <wp:extent cx="3301395" cy="2249480"/>
            <wp:effectExtent l="0" t="0" r="13335" b="1778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65283" w:rsidRDefault="00B65283" w:rsidP="00673430">
      <w:pPr>
        <w:jc w:val="center"/>
        <w:rPr>
          <w:lang w:val="pt-BR"/>
        </w:rPr>
      </w:pPr>
      <w:r w:rsidRPr="003150E1">
        <w:rPr>
          <w:lang w:val="pt-BR"/>
        </w:rPr>
        <w:t xml:space="preserve">Figura </w:t>
      </w:r>
      <w:r w:rsidR="00C404E6">
        <w:rPr>
          <w:lang w:val="pt-BR"/>
        </w:rPr>
        <w:t>8</w:t>
      </w:r>
      <w:r w:rsidRPr="003150E1">
        <w:rPr>
          <w:lang w:val="pt-BR"/>
        </w:rPr>
        <w:t>: Criticidades por alternativa para o ciclo de vida do poço.</w:t>
      </w:r>
    </w:p>
    <w:p w:rsidR="0006651D" w:rsidRPr="003150E1" w:rsidRDefault="0006651D" w:rsidP="00673430">
      <w:pPr>
        <w:jc w:val="center"/>
        <w:rPr>
          <w:lang w:val="pt-BR"/>
        </w:rPr>
      </w:pPr>
    </w:p>
    <w:p w:rsidR="00B65283" w:rsidRPr="003150E1" w:rsidRDefault="00B65283" w:rsidP="003150E1">
      <w:pPr>
        <w:jc w:val="both"/>
        <w:rPr>
          <w:lang w:val="pt-BR"/>
        </w:rPr>
      </w:pPr>
      <w:r w:rsidRPr="003150E1">
        <w:rPr>
          <w:lang w:val="pt-BR"/>
        </w:rPr>
        <w:t>A probabilidade de perda foi modelada através da combinação de fontes de dados de especialistas e dados</w:t>
      </w:r>
      <w:r w:rsidR="00673430">
        <w:rPr>
          <w:lang w:val="pt-BR"/>
        </w:rPr>
        <w:t xml:space="preserve"> empíricos provenientes dos poços já construídos</w:t>
      </w:r>
      <w:r w:rsidRPr="003150E1">
        <w:rPr>
          <w:lang w:val="pt-BR"/>
        </w:rPr>
        <w:t>, utilizando técnicas de inferências bayesiana. Os cenários foram simulados com probabilidades de perda de 0%, 25%, 50%, 75% e 100% de chances de ocorrência.</w:t>
      </w:r>
    </w:p>
    <w:p w:rsidR="00B65283" w:rsidRPr="003150E1" w:rsidRDefault="00B65283" w:rsidP="003150E1">
      <w:pPr>
        <w:jc w:val="both"/>
        <w:rPr>
          <w:lang w:val="pt-BR"/>
        </w:rPr>
      </w:pPr>
      <w:r w:rsidRPr="003150E1">
        <w:rPr>
          <w:lang w:val="pt-BR"/>
        </w:rPr>
        <w:t>A construção e quantificação do modelo de falha do poço segue a metodologia hí</w:t>
      </w:r>
      <w:r w:rsidR="00673430">
        <w:rPr>
          <w:lang w:val="pt-BR"/>
        </w:rPr>
        <w:t xml:space="preserve">brida desenvolvida </w:t>
      </w:r>
      <w:r w:rsidRPr="003150E1">
        <w:rPr>
          <w:lang w:val="pt-BR"/>
        </w:rPr>
        <w:t>(Boletim de Produção de Petróleo; Jacinto, Droguett e Garcia, 2006).</w:t>
      </w:r>
    </w:p>
    <w:p w:rsidR="00B65283" w:rsidRPr="003150E1" w:rsidRDefault="00B65283" w:rsidP="003150E1">
      <w:pPr>
        <w:jc w:val="both"/>
        <w:rPr>
          <w:lang w:val="pt-BR"/>
        </w:rPr>
      </w:pPr>
      <w:r w:rsidRPr="003150E1">
        <w:rPr>
          <w:lang w:val="pt-BR"/>
        </w:rPr>
        <w:t xml:space="preserve">As figuras </w:t>
      </w:r>
      <w:r w:rsidR="0006651D">
        <w:rPr>
          <w:lang w:val="pt-BR"/>
        </w:rPr>
        <w:t>9a12</w:t>
      </w:r>
      <w:r w:rsidRPr="003150E1">
        <w:rPr>
          <w:lang w:val="pt-BR"/>
        </w:rPr>
        <w:t xml:space="preserve"> ilustram o modelo de falha do caso base, Alternativas A, B e E, respectivamente, considerando as fase</w:t>
      </w:r>
      <w:r w:rsidR="00673430">
        <w:rPr>
          <w:lang w:val="pt-BR"/>
        </w:rPr>
        <w:t>s</w:t>
      </w:r>
      <w:r w:rsidRPr="003150E1">
        <w:rPr>
          <w:lang w:val="pt-BR"/>
        </w:rPr>
        <w:t xml:space="preserve"> de instalação e Heavy Workover.</w:t>
      </w:r>
    </w:p>
    <w:p w:rsidR="00B65283" w:rsidRPr="003150E1" w:rsidRDefault="00B65283" w:rsidP="003150E1">
      <w:pPr>
        <w:jc w:val="both"/>
        <w:rPr>
          <w:lang w:val="pt-BR"/>
        </w:rPr>
      </w:pPr>
    </w:p>
    <w:p w:rsidR="00B65283" w:rsidRPr="003150E1" w:rsidRDefault="00B65283" w:rsidP="00AD29CD">
      <w:pPr>
        <w:jc w:val="center"/>
        <w:rPr>
          <w:lang w:val="pt-BR"/>
        </w:rPr>
      </w:pPr>
      <w:r w:rsidRPr="003150E1">
        <w:rPr>
          <w:noProof/>
          <w:lang w:val="pt-BR" w:eastAsia="pt-BR"/>
        </w:rPr>
        <w:lastRenderedPageBreak/>
        <w:drawing>
          <wp:inline distT="0" distB="0" distL="0" distR="0">
            <wp:extent cx="5400040" cy="2672715"/>
            <wp:effectExtent l="0" t="0" r="0" b="0"/>
            <wp:docPr id="28" name="Imagem 5"/>
            <wp:cNvGraphicFramePr/>
            <a:graphic xmlns:a="http://schemas.openxmlformats.org/drawingml/2006/main">
              <a:graphicData uri="http://schemas.openxmlformats.org/drawingml/2006/picture">
                <pic:pic xmlns:pic="http://schemas.openxmlformats.org/drawingml/2006/picture">
                  <pic:nvPicPr>
                    <pic:cNvPr id="6" name="Imagem 5"/>
                    <pic:cNvPicPr/>
                  </pic:nvPicPr>
                  <pic:blipFill>
                    <a:blip r:embed="rId18"/>
                    <a:stretch>
                      <a:fillRect/>
                    </a:stretch>
                  </pic:blipFill>
                  <pic:spPr>
                    <a:xfrm>
                      <a:off x="0" y="0"/>
                      <a:ext cx="5400040" cy="2672715"/>
                    </a:xfrm>
                    <a:prstGeom prst="rect">
                      <a:avLst/>
                    </a:prstGeom>
                  </pic:spPr>
                </pic:pic>
              </a:graphicData>
            </a:graphic>
          </wp:inline>
        </w:drawing>
      </w:r>
    </w:p>
    <w:p w:rsidR="00B65283" w:rsidRPr="003150E1" w:rsidRDefault="00B65283" w:rsidP="00AD29CD">
      <w:pPr>
        <w:jc w:val="center"/>
        <w:rPr>
          <w:lang w:val="pt-BR"/>
        </w:rPr>
      </w:pPr>
      <w:r w:rsidRPr="003150E1">
        <w:rPr>
          <w:lang w:val="pt-BR"/>
        </w:rPr>
        <w:t xml:space="preserve">Figura </w:t>
      </w:r>
      <w:r w:rsidR="00C404E6">
        <w:rPr>
          <w:lang w:val="pt-BR"/>
        </w:rPr>
        <w:t>9</w:t>
      </w:r>
      <w:r w:rsidRPr="003150E1">
        <w:rPr>
          <w:lang w:val="pt-BR"/>
        </w:rPr>
        <w:t>: Modelo de falhas para o caso base.</w:t>
      </w:r>
    </w:p>
    <w:p w:rsidR="00B65283" w:rsidRPr="003150E1" w:rsidRDefault="00B65283" w:rsidP="003150E1">
      <w:pPr>
        <w:jc w:val="both"/>
        <w:rPr>
          <w:lang w:val="pt-BR"/>
        </w:rPr>
      </w:pPr>
    </w:p>
    <w:p w:rsidR="00B65283" w:rsidRPr="003150E1" w:rsidRDefault="00B65283" w:rsidP="003150E1">
      <w:pPr>
        <w:jc w:val="both"/>
        <w:rPr>
          <w:lang w:val="pt-BR"/>
        </w:rPr>
      </w:pPr>
      <w:r w:rsidRPr="003150E1">
        <w:rPr>
          <w:noProof/>
          <w:lang w:val="pt-BR" w:eastAsia="pt-BR"/>
        </w:rPr>
        <w:drawing>
          <wp:inline distT="0" distB="0" distL="0" distR="0">
            <wp:extent cx="6177280" cy="2520315"/>
            <wp:effectExtent l="0" t="0" r="0" b="0"/>
            <wp:docPr id="29" name="Imagem 2"/>
            <wp:cNvGraphicFramePr/>
            <a:graphic xmlns:a="http://schemas.openxmlformats.org/drawingml/2006/main">
              <a:graphicData uri="http://schemas.openxmlformats.org/drawingml/2006/picture">
                <pic:pic xmlns:pic="http://schemas.openxmlformats.org/drawingml/2006/picture">
                  <pic:nvPicPr>
                    <pic:cNvPr id="3" name="Imagem 2"/>
                    <pic:cNvPicPr/>
                  </pic:nvPicPr>
                  <pic:blipFill>
                    <a:blip r:embed="rId19"/>
                    <a:stretch>
                      <a:fillRect/>
                    </a:stretch>
                  </pic:blipFill>
                  <pic:spPr>
                    <a:xfrm>
                      <a:off x="0" y="0"/>
                      <a:ext cx="6189628" cy="2525353"/>
                    </a:xfrm>
                    <a:prstGeom prst="rect">
                      <a:avLst/>
                    </a:prstGeom>
                  </pic:spPr>
                </pic:pic>
              </a:graphicData>
            </a:graphic>
          </wp:inline>
        </w:drawing>
      </w:r>
    </w:p>
    <w:p w:rsidR="00B65283" w:rsidRPr="003150E1" w:rsidRDefault="00B65283" w:rsidP="00CB5DD2">
      <w:pPr>
        <w:jc w:val="center"/>
        <w:rPr>
          <w:lang w:val="pt-BR"/>
        </w:rPr>
      </w:pPr>
      <w:r w:rsidRPr="003150E1">
        <w:rPr>
          <w:lang w:val="pt-BR"/>
        </w:rPr>
        <w:t xml:space="preserve">Figura </w:t>
      </w:r>
      <w:r w:rsidR="00C404E6">
        <w:rPr>
          <w:lang w:val="pt-BR"/>
        </w:rPr>
        <w:t>10</w:t>
      </w:r>
      <w:r w:rsidRPr="003150E1">
        <w:rPr>
          <w:lang w:val="pt-BR"/>
        </w:rPr>
        <w:t>: Modelo de falhas para o caso A.</w:t>
      </w:r>
    </w:p>
    <w:p w:rsidR="00B65283" w:rsidRPr="003150E1" w:rsidRDefault="00B65283" w:rsidP="0006651D">
      <w:pPr>
        <w:jc w:val="center"/>
        <w:rPr>
          <w:lang w:val="pt-BR"/>
        </w:rPr>
      </w:pPr>
      <w:r w:rsidRPr="003150E1">
        <w:rPr>
          <w:noProof/>
          <w:lang w:val="pt-BR" w:eastAsia="pt-BR"/>
        </w:rPr>
        <w:drawing>
          <wp:inline distT="0" distB="0" distL="0" distR="0">
            <wp:extent cx="6145619" cy="2609850"/>
            <wp:effectExtent l="0" t="0" r="7620" b="0"/>
            <wp:docPr id="17" name="Imagem 2"/>
            <wp:cNvGraphicFramePr/>
            <a:graphic xmlns:a="http://schemas.openxmlformats.org/drawingml/2006/main">
              <a:graphicData uri="http://schemas.openxmlformats.org/drawingml/2006/picture">
                <pic:pic xmlns:pic="http://schemas.openxmlformats.org/drawingml/2006/picture">
                  <pic:nvPicPr>
                    <pic:cNvPr id="3" name="Imagem 2"/>
                    <pic:cNvPicPr/>
                  </pic:nvPicPr>
                  <pic:blipFill>
                    <a:blip r:embed="rId20"/>
                    <a:stretch>
                      <a:fillRect/>
                    </a:stretch>
                  </pic:blipFill>
                  <pic:spPr>
                    <a:xfrm>
                      <a:off x="0" y="0"/>
                      <a:ext cx="6153008" cy="2612988"/>
                    </a:xfrm>
                    <a:prstGeom prst="rect">
                      <a:avLst/>
                    </a:prstGeom>
                  </pic:spPr>
                </pic:pic>
              </a:graphicData>
            </a:graphic>
          </wp:inline>
        </w:drawing>
      </w:r>
    </w:p>
    <w:p w:rsidR="00B65283" w:rsidRPr="003150E1" w:rsidRDefault="00B65283" w:rsidP="0006651D">
      <w:pPr>
        <w:jc w:val="center"/>
        <w:rPr>
          <w:lang w:val="pt-BR"/>
        </w:rPr>
      </w:pPr>
      <w:r w:rsidRPr="003150E1">
        <w:rPr>
          <w:lang w:val="pt-BR"/>
        </w:rPr>
        <w:lastRenderedPageBreak/>
        <w:t xml:space="preserve">Figura </w:t>
      </w:r>
      <w:r w:rsidR="00673430">
        <w:rPr>
          <w:lang w:val="pt-BR"/>
        </w:rPr>
        <w:t>1</w:t>
      </w:r>
      <w:r w:rsidR="00C404E6">
        <w:rPr>
          <w:lang w:val="pt-BR"/>
        </w:rPr>
        <w:t>1</w:t>
      </w:r>
      <w:r w:rsidRPr="003150E1">
        <w:rPr>
          <w:lang w:val="pt-BR"/>
        </w:rPr>
        <w:t>: Modelo de falhas para o caso B.</w:t>
      </w:r>
    </w:p>
    <w:p w:rsidR="00B65283" w:rsidRPr="003150E1" w:rsidRDefault="00B65283" w:rsidP="0006651D">
      <w:pPr>
        <w:jc w:val="center"/>
        <w:rPr>
          <w:lang w:val="pt-BR"/>
        </w:rPr>
      </w:pPr>
      <w:r w:rsidRPr="003150E1">
        <w:rPr>
          <w:noProof/>
          <w:lang w:val="pt-BR" w:eastAsia="pt-BR"/>
        </w:rPr>
        <w:drawing>
          <wp:inline distT="0" distB="0" distL="0" distR="0">
            <wp:extent cx="6145618" cy="2667635"/>
            <wp:effectExtent l="0" t="0" r="7620" b="0"/>
            <wp:docPr id="34" name="Imagem 2"/>
            <wp:cNvGraphicFramePr/>
            <a:graphic xmlns:a="http://schemas.openxmlformats.org/drawingml/2006/main">
              <a:graphicData uri="http://schemas.openxmlformats.org/drawingml/2006/picture">
                <pic:pic xmlns:pic="http://schemas.openxmlformats.org/drawingml/2006/picture">
                  <pic:nvPicPr>
                    <pic:cNvPr id="3" name="Imagem 2"/>
                    <pic:cNvPicPr/>
                  </pic:nvPicPr>
                  <pic:blipFill>
                    <a:blip r:embed="rId21"/>
                    <a:stretch>
                      <a:fillRect/>
                    </a:stretch>
                  </pic:blipFill>
                  <pic:spPr>
                    <a:xfrm>
                      <a:off x="0" y="0"/>
                      <a:ext cx="6178874" cy="2682071"/>
                    </a:xfrm>
                    <a:prstGeom prst="rect">
                      <a:avLst/>
                    </a:prstGeom>
                  </pic:spPr>
                </pic:pic>
              </a:graphicData>
            </a:graphic>
          </wp:inline>
        </w:drawing>
      </w:r>
    </w:p>
    <w:p w:rsidR="00B65283" w:rsidRPr="003150E1" w:rsidRDefault="00B65283" w:rsidP="0006651D">
      <w:pPr>
        <w:jc w:val="center"/>
        <w:rPr>
          <w:lang w:val="pt-BR"/>
        </w:rPr>
      </w:pPr>
      <w:r w:rsidRPr="003150E1">
        <w:rPr>
          <w:lang w:val="pt-BR"/>
        </w:rPr>
        <w:t xml:space="preserve">Figura </w:t>
      </w:r>
      <w:r w:rsidR="00673430">
        <w:rPr>
          <w:lang w:val="pt-BR"/>
        </w:rPr>
        <w:t>1</w:t>
      </w:r>
      <w:r w:rsidR="00C404E6">
        <w:rPr>
          <w:lang w:val="pt-BR"/>
        </w:rPr>
        <w:t>2</w:t>
      </w:r>
      <w:r w:rsidRPr="003150E1">
        <w:rPr>
          <w:lang w:val="pt-BR"/>
        </w:rPr>
        <w:t>: Modelo de falhas para o caso E.</w:t>
      </w:r>
    </w:p>
    <w:p w:rsidR="00B65283" w:rsidRDefault="00B65283" w:rsidP="003150E1">
      <w:pPr>
        <w:jc w:val="both"/>
        <w:rPr>
          <w:lang w:val="pt-BR"/>
        </w:rPr>
      </w:pPr>
      <w:r w:rsidRPr="003150E1">
        <w:rPr>
          <w:lang w:val="pt-BR"/>
        </w:rPr>
        <w:t>A Tabela 3 apresenta os resultados das simulações dos modelos de cada alternativa com a propagação das incertezas P10, P50 e P90 para cada cenário de probabilidade de perda.</w:t>
      </w:r>
    </w:p>
    <w:p w:rsidR="0006651D" w:rsidRPr="003150E1" w:rsidRDefault="0006651D" w:rsidP="003150E1">
      <w:pPr>
        <w:jc w:val="both"/>
        <w:rPr>
          <w:lang w:val="pt-BR"/>
        </w:rPr>
      </w:pPr>
    </w:p>
    <w:p w:rsidR="00B65283" w:rsidRPr="003150E1" w:rsidRDefault="00B65283" w:rsidP="00F803AB">
      <w:pPr>
        <w:jc w:val="center"/>
        <w:rPr>
          <w:lang w:val="pt-BR"/>
        </w:rPr>
      </w:pPr>
      <w:r w:rsidRPr="003150E1">
        <w:rPr>
          <w:lang w:val="pt-BR"/>
        </w:rPr>
        <w:t>Tabela 3: Resultados para cada uma das Alternativas.</w:t>
      </w:r>
    </w:p>
    <w:p w:rsidR="00B65283" w:rsidRPr="003150E1" w:rsidRDefault="00B65283" w:rsidP="00E00F1C">
      <w:pPr>
        <w:jc w:val="center"/>
        <w:rPr>
          <w:lang w:val="pt-BR"/>
        </w:rPr>
      </w:pPr>
      <w:r w:rsidRPr="003150E1">
        <w:rPr>
          <w:noProof/>
          <w:lang w:val="pt-BR" w:eastAsia="pt-BR"/>
        </w:rPr>
        <w:drawing>
          <wp:inline distT="0" distB="0" distL="0" distR="0">
            <wp:extent cx="5400040" cy="983615"/>
            <wp:effectExtent l="0" t="0" r="0" b="6985"/>
            <wp:docPr id="30"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pic:cNvPicPr>
                  </pic:nvPicPr>
                  <pic:blipFill>
                    <a:blip r:embed="rId22"/>
                    <a:stretch>
                      <a:fillRect/>
                    </a:stretch>
                  </pic:blipFill>
                  <pic:spPr>
                    <a:xfrm>
                      <a:off x="0" y="0"/>
                      <a:ext cx="5400040" cy="983615"/>
                    </a:xfrm>
                    <a:prstGeom prst="rect">
                      <a:avLst/>
                    </a:prstGeom>
                  </pic:spPr>
                </pic:pic>
              </a:graphicData>
            </a:graphic>
          </wp:inline>
        </w:drawing>
      </w:r>
    </w:p>
    <w:p w:rsidR="00B65283" w:rsidRPr="003150E1" w:rsidRDefault="00B65283" w:rsidP="003150E1">
      <w:pPr>
        <w:jc w:val="both"/>
        <w:rPr>
          <w:lang w:val="pt-BR"/>
        </w:rPr>
      </w:pPr>
      <w:r w:rsidRPr="003150E1">
        <w:rPr>
          <w:lang w:val="pt-BR"/>
        </w:rPr>
        <w:t xml:space="preserve">O gráfico, apresentado na Figura </w:t>
      </w:r>
      <w:r w:rsidR="00E00F1C">
        <w:rPr>
          <w:lang w:val="pt-BR"/>
        </w:rPr>
        <w:t>13</w:t>
      </w:r>
      <w:r w:rsidRPr="003150E1">
        <w:rPr>
          <w:lang w:val="pt-BR"/>
        </w:rPr>
        <w:t>, representa a probabilidade de falha no poço no caso base, para cada cenário de probabilidade de perda:  0%, 25% ,50%, 75% e 100%, com a respectiva propagação de incerteza em P10, P50 e P90. Durante o estudo, foi observado que o Caso Base é o que apresenta maior sensibilidade à ocorrência de perda severa.</w:t>
      </w:r>
    </w:p>
    <w:p w:rsidR="00B65283" w:rsidRPr="003150E1" w:rsidRDefault="00B65283" w:rsidP="003150E1">
      <w:pPr>
        <w:jc w:val="both"/>
        <w:rPr>
          <w:lang w:val="pt-BR"/>
        </w:rPr>
      </w:pPr>
    </w:p>
    <w:p w:rsidR="00B65283" w:rsidRPr="003150E1" w:rsidRDefault="00B65283" w:rsidP="00673430">
      <w:pPr>
        <w:jc w:val="center"/>
        <w:rPr>
          <w:lang w:val="pt-BR"/>
        </w:rPr>
      </w:pPr>
      <w:r w:rsidRPr="003150E1">
        <w:rPr>
          <w:noProof/>
          <w:lang w:val="pt-BR" w:eastAsia="pt-BR"/>
        </w:rPr>
        <w:drawing>
          <wp:inline distT="0" distB="0" distL="0" distR="0">
            <wp:extent cx="3366239" cy="1764621"/>
            <wp:effectExtent l="0" t="0" r="5715" b="7620"/>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65283" w:rsidRDefault="00B65283" w:rsidP="00673430">
      <w:pPr>
        <w:jc w:val="center"/>
        <w:rPr>
          <w:lang w:val="pt-BR"/>
        </w:rPr>
      </w:pPr>
      <w:r w:rsidRPr="003150E1">
        <w:rPr>
          <w:lang w:val="pt-BR"/>
        </w:rPr>
        <w:t xml:space="preserve">Figura </w:t>
      </w:r>
      <w:r w:rsidR="00C404E6">
        <w:rPr>
          <w:lang w:val="pt-BR"/>
        </w:rPr>
        <w:t>13</w:t>
      </w:r>
      <w:r w:rsidRPr="003150E1">
        <w:rPr>
          <w:lang w:val="pt-BR"/>
        </w:rPr>
        <w:t>: Probabilidades de falha no Caso Base.</w:t>
      </w:r>
    </w:p>
    <w:p w:rsidR="00204C9A" w:rsidRPr="003150E1" w:rsidRDefault="00204C9A" w:rsidP="00673430">
      <w:pPr>
        <w:jc w:val="center"/>
        <w:rPr>
          <w:lang w:val="pt-BR"/>
        </w:rPr>
      </w:pPr>
    </w:p>
    <w:p w:rsidR="00204C9A" w:rsidRPr="003150E1" w:rsidRDefault="00B65283" w:rsidP="003150E1">
      <w:pPr>
        <w:jc w:val="both"/>
        <w:rPr>
          <w:lang w:val="pt-BR"/>
        </w:rPr>
      </w:pPr>
      <w:r w:rsidRPr="003150E1">
        <w:rPr>
          <w:lang w:val="pt-BR"/>
        </w:rPr>
        <w:t>Os gráficos, ilustrados nas Figura</w:t>
      </w:r>
      <w:r w:rsidR="00204C9A">
        <w:rPr>
          <w:lang w:val="pt-BR"/>
        </w:rPr>
        <w:t>s14</w:t>
      </w:r>
      <w:r w:rsidRPr="003150E1">
        <w:rPr>
          <w:lang w:val="pt-BR"/>
        </w:rPr>
        <w:t xml:space="preserve"> e </w:t>
      </w:r>
      <w:r w:rsidR="00CF2B2B">
        <w:rPr>
          <w:lang w:val="pt-BR"/>
        </w:rPr>
        <w:t>1</w:t>
      </w:r>
      <w:r w:rsidR="00204C9A">
        <w:rPr>
          <w:lang w:val="pt-BR"/>
        </w:rPr>
        <w:t>5</w:t>
      </w:r>
      <w:r w:rsidRPr="003150E1">
        <w:rPr>
          <w:lang w:val="pt-BR"/>
        </w:rPr>
        <w:t xml:space="preserve">, representam a probabilidade de falha no poço nas alternativas A, B e E, para cada cenário de probabilidade de perda: 0%, 25%,50%, 75% e 100%, com a respectiva propagação de incerteza em P50 e P90. </w:t>
      </w:r>
    </w:p>
    <w:p w:rsidR="00B65283" w:rsidRPr="003150E1" w:rsidRDefault="00B65283" w:rsidP="00CF2B2B">
      <w:pPr>
        <w:jc w:val="center"/>
        <w:rPr>
          <w:lang w:val="pt-BR"/>
        </w:rPr>
      </w:pPr>
      <w:r w:rsidRPr="003150E1">
        <w:rPr>
          <w:noProof/>
          <w:lang w:val="pt-BR" w:eastAsia="pt-BR"/>
        </w:rPr>
        <w:drawing>
          <wp:inline distT="0" distB="0" distL="0" distR="0">
            <wp:extent cx="3329220" cy="2200512"/>
            <wp:effectExtent l="0" t="0" r="5080" b="952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65283" w:rsidRPr="003150E1" w:rsidRDefault="00B65283" w:rsidP="00CF2B2B">
      <w:pPr>
        <w:jc w:val="center"/>
        <w:rPr>
          <w:lang w:val="pt-BR"/>
        </w:rPr>
      </w:pPr>
      <w:r w:rsidRPr="003150E1">
        <w:rPr>
          <w:lang w:val="pt-BR"/>
        </w:rPr>
        <w:t xml:space="preserve">Figura </w:t>
      </w:r>
      <w:r w:rsidR="00C404E6">
        <w:rPr>
          <w:lang w:val="pt-BR"/>
        </w:rPr>
        <w:t>14</w:t>
      </w:r>
      <w:r w:rsidRPr="003150E1">
        <w:rPr>
          <w:lang w:val="pt-BR"/>
        </w:rPr>
        <w:t>: Probabilidades de falha para as Alternativas A, B e E em P50.</w:t>
      </w:r>
    </w:p>
    <w:p w:rsidR="00B65283" w:rsidRPr="003150E1" w:rsidRDefault="00B65283" w:rsidP="00CF2B2B">
      <w:pPr>
        <w:jc w:val="center"/>
        <w:rPr>
          <w:lang w:val="pt-BR"/>
        </w:rPr>
      </w:pPr>
      <w:r w:rsidRPr="003150E1">
        <w:rPr>
          <w:noProof/>
          <w:lang w:val="pt-BR" w:eastAsia="pt-BR"/>
        </w:rPr>
        <w:drawing>
          <wp:inline distT="0" distB="0" distL="0" distR="0">
            <wp:extent cx="3383441" cy="2116398"/>
            <wp:effectExtent l="0" t="0" r="7620" b="1778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65283" w:rsidRDefault="00B65283" w:rsidP="00CF2B2B">
      <w:pPr>
        <w:jc w:val="center"/>
        <w:rPr>
          <w:lang w:val="pt-BR"/>
        </w:rPr>
      </w:pPr>
      <w:r w:rsidRPr="003150E1">
        <w:rPr>
          <w:lang w:val="pt-BR"/>
        </w:rPr>
        <w:t xml:space="preserve">Figura </w:t>
      </w:r>
      <w:r w:rsidR="00C404E6">
        <w:rPr>
          <w:lang w:val="pt-BR"/>
        </w:rPr>
        <w:t>15</w:t>
      </w:r>
      <w:r w:rsidRPr="003150E1">
        <w:rPr>
          <w:lang w:val="pt-BR"/>
        </w:rPr>
        <w:t>: Probabilidades de falha para as Alternativas A, B e E em P90.</w:t>
      </w:r>
    </w:p>
    <w:p w:rsidR="00204C9A" w:rsidRPr="003150E1" w:rsidRDefault="00204C9A" w:rsidP="00CF2B2B">
      <w:pPr>
        <w:jc w:val="center"/>
        <w:rPr>
          <w:lang w:val="pt-BR"/>
        </w:rPr>
      </w:pPr>
    </w:p>
    <w:p w:rsidR="00B65283" w:rsidRPr="003150E1" w:rsidRDefault="00B65283" w:rsidP="003150E1">
      <w:pPr>
        <w:jc w:val="both"/>
        <w:rPr>
          <w:lang w:val="pt-BR"/>
        </w:rPr>
      </w:pPr>
      <w:r w:rsidRPr="003150E1">
        <w:rPr>
          <w:lang w:val="pt-BR"/>
        </w:rPr>
        <w:t xml:space="preserve">De acordo com esses resultados, a alternativa E foi considerada a mais adequada. Por sua vez, a B foi apontada como a mais complexa. </w:t>
      </w:r>
    </w:p>
    <w:p w:rsidR="00B65283" w:rsidRPr="003150E1" w:rsidRDefault="00B65283" w:rsidP="003150E1">
      <w:pPr>
        <w:jc w:val="both"/>
        <w:rPr>
          <w:lang w:val="pt-BR"/>
        </w:rPr>
      </w:pPr>
      <w:r w:rsidRPr="003150E1">
        <w:rPr>
          <w:lang w:val="pt-BR"/>
        </w:rPr>
        <w:t>A partir dos resultados das simulações das probabilidades de falhas de cada alternativa e suas incertezas associadas foram identificados os desvios que poderiam ter suas probabilidades de ocorrência e incertezas reduzidas a partir de “ações de engenharia”, tais como, definição de taxas de falhas de equipamentos ainda não desenvolvidos ou com pouco histórico de uso para estas aplicações (SSD 9 ⅞”, SSA, Shifter residente e VIF).</w:t>
      </w:r>
    </w:p>
    <w:p w:rsidR="00B65283" w:rsidRDefault="00B65283" w:rsidP="003150E1">
      <w:pPr>
        <w:jc w:val="both"/>
        <w:rPr>
          <w:lang w:val="pt-BR"/>
        </w:rPr>
      </w:pPr>
      <w:r w:rsidRPr="003150E1">
        <w:rPr>
          <w:lang w:val="pt-BR"/>
        </w:rPr>
        <w:t>Foram então selecionados os desvios dos itens 6 a 8 e 10 a 14, na instalação, e 21 a 23, no Heavy Workover, destacados na Tabela 4.</w:t>
      </w:r>
    </w:p>
    <w:p w:rsidR="00204C9A" w:rsidRPr="003150E1" w:rsidRDefault="00204C9A" w:rsidP="003150E1">
      <w:pPr>
        <w:jc w:val="both"/>
        <w:rPr>
          <w:lang w:val="pt-BR"/>
        </w:rPr>
      </w:pPr>
    </w:p>
    <w:p w:rsidR="00B65283" w:rsidRPr="003150E1" w:rsidRDefault="00B65283" w:rsidP="00F803AB">
      <w:pPr>
        <w:jc w:val="center"/>
        <w:rPr>
          <w:lang w:val="pt-BR"/>
        </w:rPr>
      </w:pPr>
      <w:r w:rsidRPr="003150E1">
        <w:rPr>
          <w:lang w:val="pt-BR"/>
        </w:rPr>
        <w:t>Tabela 4: Identificação dos desvios suscetíveis à intervenção de ações de engenharia.</w:t>
      </w:r>
    </w:p>
    <w:p w:rsidR="00B65283" w:rsidRDefault="00CB5DD2" w:rsidP="003150E1">
      <w:pPr>
        <w:jc w:val="both"/>
        <w:rPr>
          <w:lang w:val="pt-BR"/>
        </w:rPr>
      </w:pPr>
      <w:r w:rsidRPr="003150E1">
        <w:rPr>
          <w:lang w:val="pt-BR"/>
        </w:rPr>
        <w:object w:dxaOrig="23740" w:dyaOrig="8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05pt;height:214.95pt" o:ole="">
            <v:imagedata r:id="rId26" o:title=""/>
          </v:shape>
          <o:OLEObject Type="Embed" ProgID="Excel.Sheet.12" ShapeID="_x0000_i1025" DrawAspect="Content" ObjectID="_1638277295" r:id="rId27"/>
        </w:object>
      </w:r>
    </w:p>
    <w:p w:rsidR="00204C9A" w:rsidRPr="003150E1" w:rsidRDefault="00204C9A" w:rsidP="003150E1">
      <w:pPr>
        <w:jc w:val="both"/>
        <w:rPr>
          <w:lang w:val="pt-BR"/>
        </w:rPr>
      </w:pPr>
    </w:p>
    <w:p w:rsidR="00B65283" w:rsidRDefault="00B65283" w:rsidP="003150E1">
      <w:pPr>
        <w:jc w:val="both"/>
        <w:rPr>
          <w:lang w:val="pt-BR"/>
        </w:rPr>
      </w:pPr>
      <w:r w:rsidRPr="003150E1">
        <w:rPr>
          <w:lang w:val="pt-BR"/>
        </w:rPr>
        <w:t xml:space="preserve">A Tabela 5 apresenta o detalhamento das falhas referentes aos equipamentos suscetíveis às “ações de engenharia”, considerando-se não só os critérios de definição de falhas aceitáveis nos equipamentos críticos nos poços do PPSBS a partir do número de WO durante o ciclo de vida do poço (27 anos) e a economicidade do projeto, mas também o nível de risco aceitável (ALARP). </w:t>
      </w:r>
    </w:p>
    <w:p w:rsidR="00CB5DD2" w:rsidRPr="003150E1" w:rsidRDefault="00CB5DD2" w:rsidP="003150E1">
      <w:pPr>
        <w:jc w:val="both"/>
        <w:rPr>
          <w:lang w:val="pt-BR"/>
        </w:rPr>
      </w:pPr>
    </w:p>
    <w:p w:rsidR="00B65283" w:rsidRPr="003150E1" w:rsidRDefault="00B65283" w:rsidP="00F803AB">
      <w:pPr>
        <w:jc w:val="center"/>
        <w:rPr>
          <w:lang w:val="pt-BR"/>
        </w:rPr>
      </w:pPr>
      <w:r w:rsidRPr="003150E1">
        <w:rPr>
          <w:lang w:val="pt-BR"/>
        </w:rPr>
        <w:t>Tabela 5: Tratamento das falhas dos equipamentos suscetíveis às ações de engenharia.</w:t>
      </w:r>
    </w:p>
    <w:p w:rsidR="00B65283" w:rsidRDefault="00B65283" w:rsidP="00F803AB">
      <w:pPr>
        <w:jc w:val="center"/>
        <w:rPr>
          <w:lang w:val="pt-BR"/>
        </w:rPr>
      </w:pPr>
      <w:r w:rsidRPr="003150E1">
        <w:rPr>
          <w:noProof/>
          <w:lang w:val="pt-BR" w:eastAsia="pt-BR"/>
        </w:rPr>
        <w:drawing>
          <wp:inline distT="0" distB="0" distL="0" distR="0">
            <wp:extent cx="5499921" cy="880270"/>
            <wp:effectExtent l="0" t="0" r="571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76604" cy="892543"/>
                    </a:xfrm>
                    <a:prstGeom prst="rect">
                      <a:avLst/>
                    </a:prstGeom>
                    <a:noFill/>
                  </pic:spPr>
                </pic:pic>
              </a:graphicData>
            </a:graphic>
          </wp:inline>
        </w:drawing>
      </w:r>
    </w:p>
    <w:p w:rsidR="00204C9A" w:rsidRPr="003150E1" w:rsidRDefault="00204C9A" w:rsidP="00F803AB">
      <w:pPr>
        <w:jc w:val="center"/>
        <w:rPr>
          <w:lang w:val="pt-BR"/>
        </w:rPr>
      </w:pPr>
    </w:p>
    <w:p w:rsidR="00B65283" w:rsidRDefault="00B65283" w:rsidP="003150E1">
      <w:pPr>
        <w:jc w:val="both"/>
        <w:rPr>
          <w:lang w:val="pt-BR"/>
        </w:rPr>
      </w:pPr>
      <w:r w:rsidRPr="003150E1">
        <w:rPr>
          <w:lang w:val="pt-BR"/>
        </w:rPr>
        <w:t xml:space="preserve">O modelo de confiabilidade mais aderente aos equipamentos mecânicos de poços é o exponencial. Considerando este modelo para o tempo de missão de 27 anos, com apenas 1 falha esperada neste intervalo, e uma confiabilidade de 95%, temos a taxa de 2,27E-07, o qual definiu-se como limite inferior. De maneira análoga, considerando-se 6 falhas no mesmo tempo de missão (27 anos) e com confiabilidade de 95%, temos uma taxa de falha associada de 1.30E-06; o que traduz um intervalo de confiança de 73,5% para apenas uma (01) em 27 anos, conforme ilustrado na Tabela </w:t>
      </w:r>
      <w:r w:rsidR="00204C9A">
        <w:rPr>
          <w:lang w:val="pt-BR"/>
        </w:rPr>
        <w:t>6.</w:t>
      </w:r>
    </w:p>
    <w:p w:rsidR="00204C9A" w:rsidRPr="003150E1" w:rsidRDefault="00204C9A" w:rsidP="003150E1">
      <w:pPr>
        <w:jc w:val="both"/>
        <w:rPr>
          <w:lang w:val="pt-BR"/>
        </w:rPr>
      </w:pPr>
    </w:p>
    <w:p w:rsidR="00B65283" w:rsidRPr="003150E1" w:rsidRDefault="00B65283" w:rsidP="00F803AB">
      <w:pPr>
        <w:jc w:val="center"/>
        <w:rPr>
          <w:lang w:val="pt-BR"/>
        </w:rPr>
      </w:pPr>
      <w:r w:rsidRPr="003150E1">
        <w:rPr>
          <w:lang w:val="pt-BR"/>
        </w:rPr>
        <w:t>Tabela6: Intervalo de confiança para 1 falha em 27 anos dos equipamentos suscetíveis às ações de engenharia.</w:t>
      </w:r>
    </w:p>
    <w:p w:rsidR="00204C9A" w:rsidRDefault="00B65283" w:rsidP="00F803AB">
      <w:pPr>
        <w:jc w:val="center"/>
        <w:rPr>
          <w:lang w:val="pt-BR"/>
        </w:rPr>
      </w:pPr>
      <w:r w:rsidRPr="003150E1">
        <w:rPr>
          <w:noProof/>
          <w:lang w:val="pt-BR" w:eastAsia="pt-BR"/>
        </w:rPr>
        <w:lastRenderedPageBreak/>
        <w:drawing>
          <wp:inline distT="0" distB="0" distL="0" distR="0">
            <wp:extent cx="1857517" cy="1279970"/>
            <wp:effectExtent l="0" t="0" r="0" b="0"/>
            <wp:docPr id="2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pic:cNvPicPr>
                  </pic:nvPicPr>
                  <pic:blipFill>
                    <a:blip r:embed="rId29"/>
                    <a:stretch>
                      <a:fillRect/>
                    </a:stretch>
                  </pic:blipFill>
                  <pic:spPr>
                    <a:xfrm>
                      <a:off x="0" y="0"/>
                      <a:ext cx="1877015" cy="1293406"/>
                    </a:xfrm>
                    <a:prstGeom prst="rect">
                      <a:avLst/>
                    </a:prstGeom>
                  </pic:spPr>
                </pic:pic>
              </a:graphicData>
            </a:graphic>
          </wp:inline>
        </w:drawing>
      </w:r>
    </w:p>
    <w:p w:rsidR="00CB5DD2" w:rsidRPr="003150E1" w:rsidRDefault="00CB5DD2" w:rsidP="00F803AB">
      <w:pPr>
        <w:jc w:val="center"/>
        <w:rPr>
          <w:lang w:val="pt-BR"/>
        </w:rPr>
      </w:pPr>
    </w:p>
    <w:p w:rsidR="00B65283" w:rsidRDefault="00B65283" w:rsidP="003150E1">
      <w:pPr>
        <w:jc w:val="both"/>
        <w:rPr>
          <w:lang w:val="pt-BR"/>
        </w:rPr>
      </w:pPr>
      <w:r w:rsidRPr="003150E1">
        <w:rPr>
          <w:lang w:val="pt-BR"/>
        </w:rPr>
        <w:t>A partir dos requisitos de engenharia definidos anteriormente (faixa de taxas de falha), os cenários foram re-simulados e obtiveram-se os novos resultados, apresentados na Tabela 7, com os cenários de probabilidade de perda e suas incertezas propagadas.</w:t>
      </w:r>
    </w:p>
    <w:p w:rsidR="00204C9A" w:rsidRPr="003150E1" w:rsidRDefault="00204C9A" w:rsidP="003150E1">
      <w:pPr>
        <w:jc w:val="both"/>
        <w:rPr>
          <w:lang w:val="pt-BR"/>
        </w:rPr>
      </w:pPr>
    </w:p>
    <w:p w:rsidR="00B65283" w:rsidRPr="003150E1" w:rsidRDefault="00B65283" w:rsidP="007061EF">
      <w:pPr>
        <w:jc w:val="center"/>
        <w:rPr>
          <w:lang w:val="pt-BR"/>
        </w:rPr>
      </w:pPr>
      <w:r w:rsidRPr="003150E1">
        <w:rPr>
          <w:lang w:val="pt-BR"/>
        </w:rPr>
        <w:t>Tabela 7: Resultados com base nas falhas dos equipamentos suscetíveis às ações de engenharia.</w:t>
      </w:r>
    </w:p>
    <w:p w:rsidR="00B65283" w:rsidRPr="003150E1" w:rsidRDefault="00B65283" w:rsidP="00204C9A">
      <w:pPr>
        <w:jc w:val="center"/>
        <w:rPr>
          <w:lang w:val="pt-BR"/>
        </w:rPr>
      </w:pPr>
      <w:r w:rsidRPr="003150E1">
        <w:rPr>
          <w:noProof/>
          <w:lang w:val="pt-BR" w:eastAsia="pt-BR"/>
        </w:rPr>
        <w:drawing>
          <wp:inline distT="0" distB="0" distL="0" distR="0">
            <wp:extent cx="5376904" cy="786347"/>
            <wp:effectExtent l="0" t="0" r="0" b="0"/>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34693" cy="794798"/>
                    </a:xfrm>
                    <a:prstGeom prst="rect">
                      <a:avLst/>
                    </a:prstGeom>
                    <a:noFill/>
                  </pic:spPr>
                </pic:pic>
              </a:graphicData>
            </a:graphic>
          </wp:inline>
        </w:drawing>
      </w:r>
    </w:p>
    <w:p w:rsidR="00B65283" w:rsidRPr="003150E1" w:rsidRDefault="00B65283" w:rsidP="003150E1">
      <w:pPr>
        <w:jc w:val="both"/>
        <w:rPr>
          <w:lang w:val="pt-BR"/>
        </w:rPr>
      </w:pPr>
      <w:r w:rsidRPr="003150E1">
        <w:rPr>
          <w:lang w:val="pt-BR"/>
        </w:rPr>
        <w:t xml:space="preserve">As Figuras </w:t>
      </w:r>
      <w:r w:rsidR="00CF2B2B">
        <w:rPr>
          <w:lang w:val="pt-BR"/>
        </w:rPr>
        <w:t>1</w:t>
      </w:r>
      <w:r w:rsidR="00204C9A">
        <w:rPr>
          <w:lang w:val="pt-BR"/>
        </w:rPr>
        <w:t>6</w:t>
      </w:r>
      <w:r w:rsidRPr="003150E1">
        <w:rPr>
          <w:lang w:val="pt-BR"/>
        </w:rPr>
        <w:t xml:space="preserve"> e </w:t>
      </w:r>
      <w:r w:rsidR="00CF2B2B">
        <w:rPr>
          <w:lang w:val="pt-BR"/>
        </w:rPr>
        <w:t>1</w:t>
      </w:r>
      <w:r w:rsidR="00204C9A">
        <w:rPr>
          <w:lang w:val="pt-BR"/>
        </w:rPr>
        <w:t>7</w:t>
      </w:r>
      <w:r w:rsidRPr="003150E1">
        <w:rPr>
          <w:lang w:val="pt-BR"/>
        </w:rPr>
        <w:t xml:space="preserve"> mostram, respectivamente, as probabilidades de falha, em P50, antes e depois das ações de engenharia serem implementadas. As Figuras </w:t>
      </w:r>
      <w:r w:rsidR="00CF2B2B">
        <w:rPr>
          <w:lang w:val="pt-BR"/>
        </w:rPr>
        <w:t>1</w:t>
      </w:r>
      <w:r w:rsidR="00204C9A">
        <w:rPr>
          <w:lang w:val="pt-BR"/>
        </w:rPr>
        <w:t>8</w:t>
      </w:r>
      <w:r w:rsidRPr="003150E1">
        <w:rPr>
          <w:lang w:val="pt-BR"/>
        </w:rPr>
        <w:t xml:space="preserve"> e </w:t>
      </w:r>
      <w:r w:rsidR="00CF2B2B">
        <w:rPr>
          <w:lang w:val="pt-BR"/>
        </w:rPr>
        <w:t>1</w:t>
      </w:r>
      <w:r w:rsidR="00204C9A">
        <w:rPr>
          <w:lang w:val="pt-BR"/>
        </w:rPr>
        <w:t>9</w:t>
      </w:r>
      <w:r w:rsidRPr="003150E1">
        <w:rPr>
          <w:lang w:val="pt-BR"/>
        </w:rPr>
        <w:t xml:space="preserve"> apontam, respectivamente, as probabilidades de falha com e sem as ações de engenharia para P90. Deve-se observar que, caso essas ações não sejam tomadas, a alternativa E se apresentou como a melhor. Entretanto, após a implementação das ações (Figura </w:t>
      </w:r>
      <w:r w:rsidR="00CF2B2B">
        <w:rPr>
          <w:lang w:val="pt-BR"/>
        </w:rPr>
        <w:t>1</w:t>
      </w:r>
      <w:r w:rsidRPr="003150E1">
        <w:rPr>
          <w:lang w:val="pt-BR"/>
        </w:rPr>
        <w:t>5), a alternativa A se apresentou como a melhor. Fica evidente a transladação das trajetórias de falha das alternativas A, B e E após a definição das taxas de falhas do equipamentos que afetam os desvios críticos com sensível redução das probabilidades de falha das alternativas.</w:t>
      </w:r>
    </w:p>
    <w:p w:rsidR="00B65283" w:rsidRPr="003150E1" w:rsidRDefault="00B65283" w:rsidP="007061EF">
      <w:pPr>
        <w:jc w:val="center"/>
        <w:rPr>
          <w:lang w:val="pt-BR"/>
        </w:rPr>
      </w:pPr>
      <w:r w:rsidRPr="003150E1">
        <w:rPr>
          <w:noProof/>
          <w:lang w:val="pt-BR" w:eastAsia="pt-BR"/>
        </w:rPr>
        <w:drawing>
          <wp:inline distT="0" distB="0" distL="0" distR="0">
            <wp:extent cx="3805352" cy="2067513"/>
            <wp:effectExtent l="0" t="0" r="5080" b="9525"/>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34432" cy="2083312"/>
                    </a:xfrm>
                    <a:prstGeom prst="rect">
                      <a:avLst/>
                    </a:prstGeom>
                    <a:noFill/>
                    <a:ln>
                      <a:noFill/>
                    </a:ln>
                  </pic:spPr>
                </pic:pic>
              </a:graphicData>
            </a:graphic>
          </wp:inline>
        </w:drawing>
      </w:r>
    </w:p>
    <w:p w:rsidR="00B65283" w:rsidRDefault="00B65283" w:rsidP="007061EF">
      <w:pPr>
        <w:jc w:val="center"/>
        <w:rPr>
          <w:lang w:val="pt-BR"/>
        </w:rPr>
      </w:pPr>
      <w:r w:rsidRPr="003150E1">
        <w:rPr>
          <w:lang w:val="pt-BR"/>
        </w:rPr>
        <w:t xml:space="preserve">Figura </w:t>
      </w:r>
      <w:r w:rsidR="00CF2B2B">
        <w:rPr>
          <w:lang w:val="pt-BR"/>
        </w:rPr>
        <w:t>1</w:t>
      </w:r>
      <w:r w:rsidR="00C404E6">
        <w:rPr>
          <w:lang w:val="pt-BR"/>
        </w:rPr>
        <w:t>6</w:t>
      </w:r>
      <w:r w:rsidRPr="003150E1">
        <w:rPr>
          <w:lang w:val="pt-BR"/>
        </w:rPr>
        <w:t>: Probabilidades de falha antes da implantação das ações de engenharia (P50).</w:t>
      </w:r>
    </w:p>
    <w:p w:rsidR="00204C9A" w:rsidRPr="003150E1" w:rsidRDefault="00204C9A" w:rsidP="007061EF">
      <w:pPr>
        <w:jc w:val="center"/>
        <w:rPr>
          <w:lang w:val="pt-BR"/>
        </w:rPr>
      </w:pPr>
    </w:p>
    <w:p w:rsidR="00B65283" w:rsidRPr="003150E1" w:rsidRDefault="00B65283" w:rsidP="007061EF">
      <w:pPr>
        <w:jc w:val="center"/>
        <w:rPr>
          <w:lang w:val="pt-BR"/>
        </w:rPr>
      </w:pPr>
      <w:r w:rsidRPr="003150E1">
        <w:rPr>
          <w:noProof/>
          <w:lang w:val="pt-BR" w:eastAsia="pt-BR"/>
        </w:rPr>
        <w:lastRenderedPageBreak/>
        <w:drawing>
          <wp:inline distT="0" distB="0" distL="0" distR="0">
            <wp:extent cx="3921592" cy="2050761"/>
            <wp:effectExtent l="0" t="0" r="3175" b="6985"/>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51717" cy="2066515"/>
                    </a:xfrm>
                    <a:prstGeom prst="rect">
                      <a:avLst/>
                    </a:prstGeom>
                    <a:noFill/>
                    <a:ln>
                      <a:noFill/>
                    </a:ln>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w:t>
      </w:r>
      <w:r w:rsidR="00C404E6">
        <w:rPr>
          <w:lang w:val="pt-BR"/>
        </w:rPr>
        <w:t>7</w:t>
      </w:r>
      <w:r w:rsidRPr="003150E1">
        <w:rPr>
          <w:lang w:val="pt-BR"/>
        </w:rPr>
        <w:t>: Probabilidades de falha após a implantação das ações de engenharia (P50).</w:t>
      </w:r>
    </w:p>
    <w:p w:rsidR="00B65283" w:rsidRPr="003150E1" w:rsidRDefault="00B65283" w:rsidP="007061EF">
      <w:pPr>
        <w:jc w:val="center"/>
        <w:rPr>
          <w:lang w:val="pt-BR"/>
        </w:rPr>
      </w:pPr>
      <w:r w:rsidRPr="003150E1">
        <w:rPr>
          <w:noProof/>
          <w:lang w:val="pt-BR" w:eastAsia="pt-BR"/>
        </w:rPr>
        <w:drawing>
          <wp:inline distT="0" distB="0" distL="0" distR="0">
            <wp:extent cx="4140589" cy="2159525"/>
            <wp:effectExtent l="0" t="0" r="0" b="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65705" cy="2172624"/>
                    </a:xfrm>
                    <a:prstGeom prst="rect">
                      <a:avLst/>
                    </a:prstGeom>
                    <a:noFill/>
                    <a:ln>
                      <a:noFill/>
                    </a:ln>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w:t>
      </w:r>
      <w:r w:rsidR="00C404E6">
        <w:rPr>
          <w:lang w:val="pt-BR"/>
        </w:rPr>
        <w:t>8</w:t>
      </w:r>
      <w:r w:rsidRPr="003150E1">
        <w:rPr>
          <w:lang w:val="pt-BR"/>
        </w:rPr>
        <w:t>: Probabilidades de falha antes da implantação das ações de engenharia (P90).</w:t>
      </w:r>
    </w:p>
    <w:p w:rsidR="00B65283" w:rsidRPr="003150E1" w:rsidRDefault="00B65283" w:rsidP="003150E1">
      <w:pPr>
        <w:jc w:val="both"/>
        <w:rPr>
          <w:lang w:val="pt-BR"/>
        </w:rPr>
      </w:pPr>
    </w:p>
    <w:p w:rsidR="00B65283" w:rsidRPr="003150E1" w:rsidRDefault="00B65283" w:rsidP="003150E1">
      <w:pPr>
        <w:jc w:val="both"/>
        <w:rPr>
          <w:lang w:val="pt-BR"/>
        </w:rPr>
      </w:pPr>
    </w:p>
    <w:p w:rsidR="00B65283" w:rsidRPr="003150E1" w:rsidRDefault="00B65283" w:rsidP="007061EF">
      <w:pPr>
        <w:jc w:val="center"/>
        <w:rPr>
          <w:lang w:val="pt-BR"/>
        </w:rPr>
      </w:pPr>
      <w:r w:rsidRPr="003150E1">
        <w:rPr>
          <w:noProof/>
          <w:lang w:val="pt-BR" w:eastAsia="pt-BR"/>
        </w:rPr>
        <w:drawing>
          <wp:inline distT="0" distB="0" distL="0" distR="0">
            <wp:extent cx="3773915" cy="2367580"/>
            <wp:effectExtent l="0" t="0" r="0" b="0"/>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91990" cy="2378919"/>
                    </a:xfrm>
                    <a:prstGeom prst="rect">
                      <a:avLst/>
                    </a:prstGeom>
                    <a:noFill/>
                    <a:ln>
                      <a:noFill/>
                    </a:ln>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w:t>
      </w:r>
      <w:r w:rsidR="00C404E6">
        <w:rPr>
          <w:lang w:val="pt-BR"/>
        </w:rPr>
        <w:t>9</w:t>
      </w:r>
      <w:r w:rsidRPr="003150E1">
        <w:rPr>
          <w:lang w:val="pt-BR"/>
        </w:rPr>
        <w:t>: Probabilidades de falha após a implantação das ações de engenharia (P90).</w:t>
      </w:r>
    </w:p>
    <w:p w:rsidR="006067ED" w:rsidRDefault="006067ED" w:rsidP="003150E1">
      <w:pPr>
        <w:jc w:val="both"/>
        <w:rPr>
          <w:lang w:val="pt-BR"/>
        </w:rPr>
      </w:pPr>
    </w:p>
    <w:p w:rsidR="00B65283" w:rsidRPr="003150E1" w:rsidRDefault="00B65283" w:rsidP="003150E1">
      <w:pPr>
        <w:jc w:val="both"/>
        <w:rPr>
          <w:lang w:val="pt-BR"/>
        </w:rPr>
      </w:pPr>
      <w:r w:rsidRPr="003150E1">
        <w:rPr>
          <w:lang w:val="pt-BR"/>
        </w:rPr>
        <w:lastRenderedPageBreak/>
        <w:t>O passo seguinte foi a realização do estudo de complexidade, a partir da escolha do cenário de maior variabilidade dos cenários re-simulados de cada alternativa e caso base e suas modelagens entrópicas.</w:t>
      </w:r>
    </w:p>
    <w:p w:rsidR="00B65283" w:rsidRPr="003150E1" w:rsidRDefault="00B65283" w:rsidP="003150E1">
      <w:pPr>
        <w:jc w:val="both"/>
        <w:rPr>
          <w:lang w:val="pt-BR"/>
        </w:rPr>
      </w:pPr>
      <w:r w:rsidRPr="003150E1">
        <w:rPr>
          <w:lang w:val="pt-BR"/>
        </w:rPr>
        <w:t xml:space="preserve">As figuras </w:t>
      </w:r>
      <w:r w:rsidR="00204C9A">
        <w:rPr>
          <w:lang w:val="pt-BR"/>
        </w:rPr>
        <w:t>20</w:t>
      </w:r>
      <w:r w:rsidR="00CF2B2B">
        <w:rPr>
          <w:lang w:val="pt-BR"/>
        </w:rPr>
        <w:t xml:space="preserve"> e </w:t>
      </w:r>
      <w:r w:rsidR="00204C9A">
        <w:rPr>
          <w:lang w:val="pt-BR"/>
        </w:rPr>
        <w:t>21</w:t>
      </w:r>
      <w:r w:rsidRPr="003150E1">
        <w:rPr>
          <w:lang w:val="pt-BR"/>
        </w:rPr>
        <w:t xml:space="preserve"> ilustram a evolução do fluxo geométrico diferencial nas variedades entrópicas e a respectiva energia aplicada até o colapso das mesmas e definição do tempo de extinção para o caso base. </w:t>
      </w:r>
    </w:p>
    <w:p w:rsidR="00B65283" w:rsidRPr="003150E1" w:rsidRDefault="00B65283" w:rsidP="007061EF">
      <w:pPr>
        <w:jc w:val="center"/>
        <w:rPr>
          <w:lang w:val="pt-BR"/>
        </w:rPr>
      </w:pPr>
      <w:r w:rsidRPr="003150E1">
        <w:rPr>
          <w:noProof/>
          <w:lang w:val="pt-BR" w:eastAsia="pt-BR"/>
        </w:rPr>
        <w:drawing>
          <wp:inline distT="0" distB="0" distL="0" distR="0">
            <wp:extent cx="2744795" cy="181140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9314" t="25208" r="26636" b="11357"/>
                    <a:stretch/>
                  </pic:blipFill>
                  <pic:spPr bwMode="auto">
                    <a:xfrm>
                      <a:off x="0" y="0"/>
                      <a:ext cx="2761174" cy="182221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B65283" w:rsidRPr="003150E1" w:rsidRDefault="00B65283" w:rsidP="007061EF">
      <w:pPr>
        <w:jc w:val="center"/>
        <w:rPr>
          <w:lang w:val="pt-BR"/>
        </w:rPr>
      </w:pPr>
      <w:r w:rsidRPr="003150E1">
        <w:rPr>
          <w:lang w:val="pt-BR"/>
        </w:rPr>
        <w:t xml:space="preserve">Figura </w:t>
      </w:r>
      <w:r w:rsidR="00C404E6">
        <w:rPr>
          <w:lang w:val="pt-BR"/>
        </w:rPr>
        <w:t>20</w:t>
      </w:r>
      <w:r w:rsidRPr="003150E1">
        <w:rPr>
          <w:lang w:val="pt-BR"/>
        </w:rPr>
        <w:t>: Colapso da variedade entrópica para o caso base.</w:t>
      </w:r>
    </w:p>
    <w:p w:rsidR="00B65283" w:rsidRPr="003150E1" w:rsidRDefault="00B65283" w:rsidP="007061EF">
      <w:pPr>
        <w:jc w:val="center"/>
        <w:rPr>
          <w:lang w:val="pt-BR"/>
        </w:rPr>
      </w:pPr>
      <w:r w:rsidRPr="003150E1">
        <w:rPr>
          <w:noProof/>
          <w:lang w:val="pt-BR" w:eastAsia="pt-BR"/>
        </w:rPr>
        <w:drawing>
          <wp:inline distT="0" distB="0" distL="0" distR="0">
            <wp:extent cx="4177637" cy="2335029"/>
            <wp:effectExtent l="0" t="0" r="0" b="825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1765" t="12911" r="6811" b="6319"/>
                    <a:stretch/>
                  </pic:blipFill>
                  <pic:spPr bwMode="auto">
                    <a:xfrm>
                      <a:off x="0" y="0"/>
                      <a:ext cx="4183674" cy="2338403"/>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B65283" w:rsidRDefault="00B65283" w:rsidP="007061EF">
      <w:pPr>
        <w:jc w:val="center"/>
        <w:rPr>
          <w:lang w:val="pt-BR"/>
        </w:rPr>
      </w:pPr>
      <w:r w:rsidRPr="003150E1">
        <w:rPr>
          <w:lang w:val="pt-BR"/>
        </w:rPr>
        <w:t xml:space="preserve">Figura </w:t>
      </w:r>
      <w:r w:rsidR="00C404E6">
        <w:rPr>
          <w:lang w:val="pt-BR"/>
        </w:rPr>
        <w:t>21</w:t>
      </w:r>
      <w:r w:rsidRPr="003150E1">
        <w:rPr>
          <w:lang w:val="pt-BR"/>
        </w:rPr>
        <w:t>: Tempo de extinção da variedade entrópica para o caso base.</w:t>
      </w:r>
    </w:p>
    <w:p w:rsidR="00B65283" w:rsidRPr="003150E1" w:rsidRDefault="00B65283" w:rsidP="003150E1">
      <w:pPr>
        <w:jc w:val="both"/>
        <w:rPr>
          <w:lang w:val="pt-BR"/>
        </w:rPr>
      </w:pPr>
      <w:r w:rsidRPr="003150E1">
        <w:rPr>
          <w:lang w:val="pt-BR"/>
        </w:rPr>
        <w:t xml:space="preserve">Os resultados das análises de complexidade das alternativas podem ser observados na Tabela 8 e na Figura </w:t>
      </w:r>
      <w:r w:rsidR="00204C9A">
        <w:rPr>
          <w:lang w:val="pt-BR"/>
        </w:rPr>
        <w:t>22</w:t>
      </w:r>
      <w:r w:rsidRPr="003150E1">
        <w:rPr>
          <w:lang w:val="pt-BR"/>
        </w:rPr>
        <w:t>, que confirmam a mudança de “</w:t>
      </w:r>
      <w:r w:rsidR="00CF2B2B">
        <w:rPr>
          <w:lang w:val="pt-BR"/>
        </w:rPr>
        <w:t>ranque</w:t>
      </w:r>
      <w:r w:rsidRPr="003150E1">
        <w:rPr>
          <w:lang w:val="pt-BR"/>
        </w:rPr>
        <w:t>amento”. Observa-se que o caso base é o mais complexo para o cenário de alta probabilidade de perda e a Alternativa A é a que apresenta menor complexidade. Importante ressaltar a característica de indiferença aos cenários de perda, das alternativas A, B e E.</w:t>
      </w:r>
    </w:p>
    <w:p w:rsidR="00B65283" w:rsidRPr="003150E1" w:rsidRDefault="00B65283" w:rsidP="003150E1">
      <w:pPr>
        <w:jc w:val="both"/>
        <w:rPr>
          <w:lang w:val="pt-BR"/>
        </w:rPr>
      </w:pPr>
    </w:p>
    <w:p w:rsidR="00B65283" w:rsidRPr="003150E1" w:rsidRDefault="00B65283" w:rsidP="007061EF">
      <w:pPr>
        <w:jc w:val="center"/>
        <w:rPr>
          <w:lang w:val="pt-BR"/>
        </w:rPr>
      </w:pPr>
      <w:r w:rsidRPr="003150E1">
        <w:rPr>
          <w:lang w:val="pt-BR"/>
        </w:rPr>
        <w:t>Tabela 8: Resultados das análises de complexidade por</w:t>
      </w:r>
      <w:r w:rsidR="00CF2B2B">
        <w:rPr>
          <w:lang w:val="pt-BR"/>
        </w:rPr>
        <w:t xml:space="preserve"> alternativa</w:t>
      </w:r>
    </w:p>
    <w:p w:rsidR="00B65283" w:rsidRPr="003150E1" w:rsidRDefault="00B65283" w:rsidP="007061EF">
      <w:pPr>
        <w:jc w:val="center"/>
        <w:rPr>
          <w:lang w:val="pt-BR"/>
        </w:rPr>
      </w:pPr>
      <w:r w:rsidRPr="003150E1">
        <w:rPr>
          <w:noProof/>
          <w:lang w:val="pt-BR" w:eastAsia="pt-BR"/>
        </w:rPr>
        <w:drawing>
          <wp:inline distT="0" distB="0" distL="0" distR="0">
            <wp:extent cx="4873890" cy="1000125"/>
            <wp:effectExtent l="0" t="0" r="3175" b="0"/>
            <wp:docPr id="39"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37"/>
                    <a:stretch>
                      <a:fillRect/>
                    </a:stretch>
                  </pic:blipFill>
                  <pic:spPr>
                    <a:xfrm>
                      <a:off x="0" y="0"/>
                      <a:ext cx="4906058" cy="1006726"/>
                    </a:xfrm>
                    <a:prstGeom prst="rect">
                      <a:avLst/>
                    </a:prstGeom>
                  </pic:spPr>
                </pic:pic>
              </a:graphicData>
            </a:graphic>
          </wp:inline>
        </w:drawing>
      </w:r>
    </w:p>
    <w:p w:rsidR="00B65283" w:rsidRPr="003150E1" w:rsidRDefault="00B65283" w:rsidP="007061EF">
      <w:pPr>
        <w:jc w:val="center"/>
        <w:rPr>
          <w:lang w:val="pt-BR"/>
        </w:rPr>
      </w:pPr>
      <w:r w:rsidRPr="003150E1">
        <w:rPr>
          <w:noProof/>
          <w:lang w:val="pt-BR" w:eastAsia="pt-BR"/>
        </w:rPr>
        <w:lastRenderedPageBreak/>
        <w:drawing>
          <wp:inline distT="0" distB="0" distL="0" distR="0">
            <wp:extent cx="4687044" cy="2621280"/>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93295" cy="2624776"/>
                    </a:xfrm>
                    <a:prstGeom prst="rect">
                      <a:avLst/>
                    </a:prstGeom>
                    <a:noFill/>
                  </pic:spPr>
                </pic:pic>
              </a:graphicData>
            </a:graphic>
          </wp:inline>
        </w:drawing>
      </w:r>
    </w:p>
    <w:p w:rsidR="00B65283" w:rsidRPr="003150E1" w:rsidRDefault="00B65283" w:rsidP="007061EF">
      <w:pPr>
        <w:jc w:val="center"/>
        <w:rPr>
          <w:lang w:val="pt-BR"/>
        </w:rPr>
      </w:pPr>
      <w:r w:rsidRPr="003150E1">
        <w:rPr>
          <w:lang w:val="pt-BR"/>
        </w:rPr>
        <w:t xml:space="preserve">Figura </w:t>
      </w:r>
      <w:r w:rsidR="00C404E6">
        <w:rPr>
          <w:lang w:val="pt-BR"/>
        </w:rPr>
        <w:t>22</w:t>
      </w:r>
      <w:r w:rsidRPr="003150E1">
        <w:rPr>
          <w:lang w:val="pt-BR"/>
        </w:rPr>
        <w:t>: Resultado da análise comparativa.</w:t>
      </w:r>
    </w:p>
    <w:p w:rsidR="00772DAD" w:rsidRPr="003150E1" w:rsidRDefault="00772DAD" w:rsidP="003150E1">
      <w:pPr>
        <w:jc w:val="both"/>
        <w:rPr>
          <w:lang w:val="pt-BR"/>
        </w:rPr>
      </w:pPr>
    </w:p>
    <w:p w:rsidR="002A1AE3" w:rsidRPr="00A47FCC" w:rsidRDefault="00D42FC0" w:rsidP="00A47FCC">
      <w:pPr>
        <w:pStyle w:val="PargrafodaLista"/>
        <w:numPr>
          <w:ilvl w:val="0"/>
          <w:numId w:val="29"/>
        </w:numPr>
        <w:jc w:val="both"/>
        <w:rPr>
          <w:b/>
          <w:lang w:val="pt-BR"/>
        </w:rPr>
      </w:pPr>
      <w:r w:rsidRPr="00A47FCC">
        <w:rPr>
          <w:b/>
          <w:lang w:val="pt-BR"/>
        </w:rPr>
        <w:t>CONCLUS</w:t>
      </w:r>
      <w:r w:rsidR="006067ED" w:rsidRPr="00A47FCC">
        <w:rPr>
          <w:b/>
          <w:lang w:val="pt-BR"/>
        </w:rPr>
        <w:t>ÕES</w:t>
      </w:r>
    </w:p>
    <w:p w:rsidR="00A47FCC" w:rsidRPr="00A47FCC" w:rsidRDefault="00A47FCC" w:rsidP="00A47FCC">
      <w:pPr>
        <w:pStyle w:val="PargrafodaLista"/>
        <w:ind w:left="360"/>
        <w:jc w:val="both"/>
        <w:rPr>
          <w:b/>
          <w:lang w:val="pt-BR"/>
        </w:rPr>
      </w:pPr>
    </w:p>
    <w:p w:rsidR="0097289C" w:rsidRPr="0097289C" w:rsidRDefault="0097289C" w:rsidP="0097289C">
      <w:pPr>
        <w:jc w:val="both"/>
        <w:rPr>
          <w:lang w:val="pt-BR"/>
        </w:rPr>
      </w:pPr>
      <w:r w:rsidRPr="0097289C">
        <w:rPr>
          <w:lang w:val="pt-BR"/>
        </w:rPr>
        <w:t>A máxima entropia diferencial de modelos de projetos de poços se conecta com a teoria de fluxos geométricos diferenciais através da topologia, permitindo uma avaliação completa e profunda do nível de desordem associado e consequentemente, da entropia do projeto e sua complexidade final.</w:t>
      </w:r>
    </w:p>
    <w:p w:rsidR="0097289C" w:rsidRPr="0097289C" w:rsidRDefault="0097289C" w:rsidP="0097289C">
      <w:pPr>
        <w:jc w:val="both"/>
        <w:rPr>
          <w:lang w:val="pt-BR"/>
        </w:rPr>
      </w:pPr>
      <w:r w:rsidRPr="0097289C">
        <w:rPr>
          <w:lang w:val="pt-BR"/>
        </w:rPr>
        <w:t>A combinação da máxima entropia diferencial e o fluxo geométrico diferencial possibilitou a construção de um novo modelo baseado na distribuição de energia do sistema e sua evolução em um fluxo geométrico.</w:t>
      </w:r>
    </w:p>
    <w:p w:rsidR="0097289C" w:rsidRPr="0097289C" w:rsidRDefault="0097289C" w:rsidP="0097289C">
      <w:pPr>
        <w:jc w:val="both"/>
        <w:rPr>
          <w:lang w:val="pt-BR"/>
        </w:rPr>
      </w:pPr>
      <w:r w:rsidRPr="0097289C">
        <w:rPr>
          <w:lang w:val="pt-BR"/>
        </w:rPr>
        <w:t>Quanto maior for o grau de desordem do sistema, maiores serão as taxas de curvaturas da variedade composta e menor a velocidade do homeomorfismo, aumentando o tempo de extinção e a métrica de complexidade do projeto.</w:t>
      </w:r>
    </w:p>
    <w:p w:rsidR="0097289C" w:rsidRPr="0097289C" w:rsidRDefault="0097289C" w:rsidP="0097289C">
      <w:pPr>
        <w:jc w:val="both"/>
        <w:rPr>
          <w:lang w:val="pt-BR"/>
        </w:rPr>
      </w:pPr>
      <w:r w:rsidRPr="0097289C">
        <w:rPr>
          <w:lang w:val="pt-BR"/>
        </w:rPr>
        <w:t>A metodologia desenvolvida possibilita a comparação entre diferentes projetos de poços e intervenções, utilizando diferentes tecnologias e processos.</w:t>
      </w:r>
    </w:p>
    <w:p w:rsidR="0097289C" w:rsidRDefault="0097289C" w:rsidP="003150E1">
      <w:pPr>
        <w:jc w:val="both"/>
        <w:rPr>
          <w:lang w:val="pt-BR"/>
        </w:rPr>
      </w:pPr>
      <w:r w:rsidRPr="0097289C">
        <w:rPr>
          <w:lang w:val="pt-BR"/>
        </w:rPr>
        <w:t>Trabalhos futuros deverão focar o problema inverso, otimizando o projeto através da reversão do fluxo ou medidas neutralizadoras / suavizadoras da entropia e composição de carteira ótima de projetos.</w:t>
      </w:r>
    </w:p>
    <w:p w:rsidR="00D969EA" w:rsidRPr="003150E1" w:rsidRDefault="00D969EA" w:rsidP="003150E1">
      <w:pPr>
        <w:jc w:val="both"/>
        <w:rPr>
          <w:lang w:val="pt-BR"/>
        </w:rPr>
      </w:pPr>
      <w:r w:rsidRPr="003150E1">
        <w:rPr>
          <w:lang w:val="pt-BR"/>
        </w:rPr>
        <w:t>Foram identificados os seguintes pontos de destaque na análise das alternativas propostas para a configuração PACI 3 zonas:</w:t>
      </w:r>
    </w:p>
    <w:p w:rsidR="00D969EA" w:rsidRPr="000B06AF" w:rsidRDefault="00D969EA" w:rsidP="000B06AF">
      <w:pPr>
        <w:pStyle w:val="PargrafodaLista"/>
        <w:numPr>
          <w:ilvl w:val="0"/>
          <w:numId w:val="30"/>
        </w:numPr>
        <w:jc w:val="both"/>
        <w:rPr>
          <w:lang w:val="pt-BR"/>
        </w:rPr>
      </w:pPr>
      <w:r w:rsidRPr="000B06AF">
        <w:rPr>
          <w:lang w:val="pt-BR"/>
        </w:rPr>
        <w:t>Com exceção do caso base, todas as alternativas apresentam uma curva de indiferença em relação à probabilidade de perda;</w:t>
      </w:r>
    </w:p>
    <w:p w:rsidR="00D969EA" w:rsidRPr="000B06AF" w:rsidRDefault="00D969EA" w:rsidP="000B06AF">
      <w:pPr>
        <w:pStyle w:val="PargrafodaLista"/>
        <w:numPr>
          <w:ilvl w:val="0"/>
          <w:numId w:val="30"/>
        </w:numPr>
        <w:jc w:val="both"/>
        <w:rPr>
          <w:lang w:val="pt-BR"/>
        </w:rPr>
      </w:pPr>
      <w:r w:rsidRPr="000B06AF">
        <w:rPr>
          <w:lang w:val="pt-BR"/>
        </w:rPr>
        <w:t>As alternativas A, B e E apresentam um elevado grau de incerteza em relação à sua confiabilidade devido à falta de conhecimento dos equipamentos utilizados, devendo-se aplicar estudos de confiabilidade nos mesmos;</w:t>
      </w:r>
    </w:p>
    <w:p w:rsidR="00CC7D49" w:rsidRPr="000B06AF" w:rsidRDefault="00D969EA" w:rsidP="000B06AF">
      <w:pPr>
        <w:pStyle w:val="PargrafodaLista"/>
        <w:numPr>
          <w:ilvl w:val="0"/>
          <w:numId w:val="30"/>
        </w:numPr>
        <w:jc w:val="both"/>
        <w:rPr>
          <w:lang w:val="pt-BR"/>
        </w:rPr>
      </w:pPr>
      <w:r w:rsidRPr="000B06AF">
        <w:rPr>
          <w:lang w:val="pt-BR"/>
        </w:rPr>
        <w:t>O Caso Base apresenta a menor incerteza em relação à sua disponibilidade. Porém, foi verificada maior complexidade para cenários com elevada probabilidade de perda.</w:t>
      </w:r>
    </w:p>
    <w:p w:rsidR="00C80D55" w:rsidRPr="000B06AF" w:rsidRDefault="00D969EA" w:rsidP="000B06AF">
      <w:pPr>
        <w:pStyle w:val="PargrafodaLista"/>
        <w:numPr>
          <w:ilvl w:val="0"/>
          <w:numId w:val="30"/>
        </w:numPr>
        <w:jc w:val="both"/>
        <w:rPr>
          <w:lang w:val="pt-BR"/>
        </w:rPr>
      </w:pPr>
      <w:r w:rsidRPr="000B06AF">
        <w:rPr>
          <w:lang w:val="pt-BR"/>
        </w:rPr>
        <w:t>Assim, a Alternativa “A” foi a que apresentou a melhor performance (disponibilidade) em relação às demais e ta</w:t>
      </w:r>
      <w:r w:rsidR="006067ED" w:rsidRPr="000B06AF">
        <w:rPr>
          <w:lang w:val="pt-BR"/>
        </w:rPr>
        <w:t>mbém o menor nível de complexi</w:t>
      </w:r>
      <w:r w:rsidRPr="000B06AF">
        <w:rPr>
          <w:lang w:val="pt-BR"/>
        </w:rPr>
        <w:t>dade quando se assume a aplicação das “ações de engenharia”, sendo considerada a mais adequada para a configuração PACI 3 zonas</w:t>
      </w:r>
      <w:r w:rsidR="000B06AF" w:rsidRPr="000B06AF">
        <w:rPr>
          <w:lang w:val="pt-BR"/>
        </w:rPr>
        <w:t>.</w:t>
      </w:r>
    </w:p>
    <w:p w:rsidR="00476673" w:rsidRPr="003150E1" w:rsidRDefault="00476673" w:rsidP="003150E1">
      <w:pPr>
        <w:jc w:val="both"/>
        <w:rPr>
          <w:lang w:val="pt-BR"/>
        </w:rPr>
      </w:pPr>
    </w:p>
    <w:p w:rsidR="007C0A09" w:rsidRPr="002025C8" w:rsidRDefault="00476673" w:rsidP="005C1914">
      <w:pPr>
        <w:pStyle w:val="PargrafodaLista"/>
        <w:numPr>
          <w:ilvl w:val="0"/>
          <w:numId w:val="29"/>
        </w:numPr>
        <w:jc w:val="both"/>
        <w:rPr>
          <w:lang w:val="pt-BR"/>
        </w:rPr>
      </w:pPr>
      <w:r w:rsidRPr="002025C8">
        <w:rPr>
          <w:b/>
          <w:lang w:val="pt-BR"/>
        </w:rPr>
        <w:t>ANEXOS</w:t>
      </w:r>
    </w:p>
    <w:p w:rsidR="002025C8" w:rsidRPr="002025C8" w:rsidRDefault="002025C8" w:rsidP="002025C8">
      <w:pPr>
        <w:pStyle w:val="PargrafodaLista"/>
        <w:ind w:left="360"/>
        <w:jc w:val="both"/>
        <w:rPr>
          <w:lang w:val="pt-BR"/>
        </w:rPr>
      </w:pPr>
    </w:p>
    <w:p w:rsidR="00FF5F31" w:rsidRDefault="002036C7" w:rsidP="002036C7">
      <w:pPr>
        <w:jc w:val="both"/>
        <w:rPr>
          <w:b/>
          <w:lang w:val="pt-BR"/>
        </w:rPr>
      </w:pPr>
      <w:r w:rsidRPr="002036C7">
        <w:rPr>
          <w:b/>
          <w:lang w:val="pt-BR"/>
        </w:rPr>
        <w:t>ENTROPIA COMO MEDIDA DE INCERTEZA</w:t>
      </w:r>
    </w:p>
    <w:p w:rsidR="002025C8" w:rsidRPr="002036C7" w:rsidRDefault="002025C8" w:rsidP="002025C8">
      <w:pPr>
        <w:jc w:val="both"/>
        <w:rPr>
          <w:lang w:val="pt-BR"/>
        </w:rPr>
      </w:pPr>
      <w:r w:rsidRPr="002036C7">
        <w:rPr>
          <w:lang w:val="pt-BR"/>
        </w:rPr>
        <w:t>A entropia mede a quantidade de informação faltante (ou incerteza a ser revelada) e</w:t>
      </w:r>
      <w:r>
        <w:rPr>
          <w:lang w:val="pt-BR"/>
        </w:rPr>
        <w:t xml:space="preserve"> considera</w:t>
      </w:r>
      <w:r w:rsidRPr="002036C7">
        <w:rPr>
          <w:lang w:val="pt-BR"/>
        </w:rPr>
        <w:t xml:space="preserve"> a distribuição menos subjetiva compatível com as restrições dadas, ou, a menos comprometida com as incertezas faltantes.</w:t>
      </w:r>
    </w:p>
    <w:p w:rsidR="002025C8" w:rsidRPr="002036C7" w:rsidRDefault="002025C8" w:rsidP="002025C8">
      <w:pPr>
        <w:jc w:val="both"/>
        <w:rPr>
          <w:lang w:val="pt-BR"/>
        </w:rPr>
      </w:pPr>
      <w:r w:rsidRPr="002036C7">
        <w:rPr>
          <w:lang w:val="pt-BR"/>
        </w:rPr>
        <w:t>Qua</w:t>
      </w:r>
      <w:r w:rsidR="000B06AF">
        <w:rPr>
          <w:lang w:val="pt-BR"/>
        </w:rPr>
        <w:t>ndo a inferência é feita basead0-se</w:t>
      </w:r>
      <w:r w:rsidRPr="002036C7">
        <w:rPr>
          <w:lang w:val="pt-BR"/>
        </w:rPr>
        <w:t xml:space="preserve"> em informação incompleta (estados de incertezas das variáveis do projeto), deve-se fazê-la a partir da distribuição de probabilidades que possui a máxima entropia permitida pela informação disponível.</w:t>
      </w:r>
    </w:p>
    <w:p w:rsidR="002025C8" w:rsidRPr="002036C7" w:rsidRDefault="002025C8" w:rsidP="002025C8">
      <w:pPr>
        <w:jc w:val="both"/>
        <w:rPr>
          <w:lang w:val="pt-BR"/>
        </w:rPr>
      </w:pPr>
      <w:r w:rsidRPr="002036C7">
        <w:rPr>
          <w:lang w:val="pt-BR"/>
        </w:rPr>
        <w:t>O Princípio da Máxima Entropia fornece uma regra de processamento ótimo das incertezas do projeto.</w:t>
      </w:r>
    </w:p>
    <w:p w:rsidR="002025C8" w:rsidRDefault="002025C8" w:rsidP="002036C7">
      <w:pPr>
        <w:jc w:val="both"/>
        <w:rPr>
          <w:lang w:val="pt-BR"/>
        </w:rPr>
      </w:pPr>
      <w:r w:rsidRPr="002036C7">
        <w:rPr>
          <w:lang w:val="pt-BR"/>
        </w:rPr>
        <w:t>O princípio geral da máxima entropia é aplicável a qualquer problema com espaço de hipóteses bem definido e informação incompleta.</w:t>
      </w:r>
    </w:p>
    <w:p w:rsidR="002025C8" w:rsidRPr="002025C8" w:rsidRDefault="002025C8" w:rsidP="002036C7">
      <w:pPr>
        <w:jc w:val="both"/>
        <w:rPr>
          <w:lang w:val="pt-BR"/>
        </w:rPr>
      </w:pPr>
      <w:r>
        <w:rPr>
          <w:lang w:val="pt-BR"/>
        </w:rPr>
        <w:t>Na figura 23 identificamos a fonte (Natureza) como geradora e/ou potenciadora de entropia na atividade de engenharia de poços de petróleo.</w:t>
      </w:r>
      <w:bookmarkStart w:id="0" w:name="_GoBack"/>
      <w:bookmarkEnd w:id="0"/>
    </w:p>
    <w:p w:rsidR="002025C8" w:rsidRDefault="002025C8" w:rsidP="002025C8">
      <w:pPr>
        <w:jc w:val="center"/>
        <w:rPr>
          <w:lang w:val="pt-BR"/>
        </w:rPr>
      </w:pPr>
      <w:r>
        <w:rPr>
          <w:noProof/>
          <w:lang w:val="pt-BR" w:eastAsia="pt-BR"/>
        </w:rPr>
        <w:drawing>
          <wp:inline distT="0" distB="0" distL="0" distR="0">
            <wp:extent cx="4997734" cy="2148263"/>
            <wp:effectExtent l="0" t="0" r="0" b="4445"/>
            <wp:docPr id="199" name="Imagem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16781" cy="2156450"/>
                    </a:xfrm>
                    <a:prstGeom prst="rect">
                      <a:avLst/>
                    </a:prstGeom>
                    <a:noFill/>
                  </pic:spPr>
                </pic:pic>
              </a:graphicData>
            </a:graphic>
          </wp:inline>
        </w:drawing>
      </w:r>
    </w:p>
    <w:p w:rsidR="002025C8" w:rsidRDefault="002025C8" w:rsidP="002025C8">
      <w:pPr>
        <w:jc w:val="center"/>
        <w:rPr>
          <w:lang w:val="pt-BR"/>
        </w:rPr>
      </w:pPr>
      <w:r w:rsidRPr="002025C8">
        <w:rPr>
          <w:lang w:val="pt-BR"/>
        </w:rPr>
        <w:t>Figura 23: Metodologia desenvolvida: Fontes de entropia na atividade de engenharia de poços de petróleo</w:t>
      </w:r>
    </w:p>
    <w:p w:rsidR="002036C7" w:rsidRPr="002036C7" w:rsidRDefault="002036C7" w:rsidP="002036C7">
      <w:pPr>
        <w:jc w:val="both"/>
        <w:rPr>
          <w:lang w:val="pt-BR"/>
        </w:rPr>
      </w:pPr>
    </w:p>
    <w:p w:rsidR="00FF5F31" w:rsidRDefault="002036C7" w:rsidP="002036C7">
      <w:pPr>
        <w:jc w:val="both"/>
        <w:rPr>
          <w:b/>
          <w:lang w:val="pt-BR"/>
        </w:rPr>
      </w:pPr>
      <w:r w:rsidRPr="002036C7">
        <w:rPr>
          <w:b/>
          <w:lang w:val="pt-BR"/>
        </w:rPr>
        <w:t>ENTROPIA MÁXIMA DIFERENCIAL DE UMA VARIÁVEL GAUSSIANA UNIDIMENSIONAL</w:t>
      </w:r>
    </w:p>
    <w:p w:rsidR="0097289C" w:rsidRDefault="0097289C" w:rsidP="002036C7">
      <w:pPr>
        <w:jc w:val="both"/>
        <w:rPr>
          <w:b/>
          <w:lang w:val="pt-BR"/>
        </w:rPr>
      </w:pPr>
    </w:p>
    <w:p w:rsidR="0097289C" w:rsidRDefault="002036C7" w:rsidP="002036C7">
      <w:pPr>
        <w:jc w:val="both"/>
        <w:rPr>
          <w:lang w:val="pt-BR"/>
        </w:rPr>
      </w:pPr>
      <w:r w:rsidRPr="002036C7">
        <w:rPr>
          <w:lang w:val="pt-BR"/>
        </w:rPr>
        <w:t>O valor máximo da entropia diferencial de uma variável aleatória gaussiana unidimensional é:</w:t>
      </w:r>
    </w:p>
    <w:p w:rsidR="0097289C" w:rsidRPr="0097289C" w:rsidRDefault="002036C7" w:rsidP="002036C7">
      <w:pPr>
        <w:jc w:val="both"/>
        <w:rPr>
          <w:iCs/>
          <w:lang w:val="pt-BR"/>
        </w:rPr>
      </w:pPr>
      <m:oMathPara>
        <m:oMath>
          <m:r>
            <w:rPr>
              <w:rFonts w:ascii="Cambria Math" w:hAnsi="Cambria Math"/>
              <w:lang w:val="pt-BR"/>
            </w:rPr>
            <m:t>h</m:t>
          </m:r>
          <m:d>
            <m:dPr>
              <m:ctrlPr>
                <w:rPr>
                  <w:rFonts w:ascii="Cambria Math" w:hAnsi="Cambria Math"/>
                  <w:i/>
                  <w:iCs/>
                  <w:lang w:val="pt-BR"/>
                </w:rPr>
              </m:ctrlPr>
            </m:dPr>
            <m:e>
              <m:r>
                <w:rPr>
                  <w:rFonts w:ascii="Cambria Math" w:hAnsi="Cambria Math"/>
                  <w:lang w:val="pt-BR"/>
                </w:rPr>
                <m:t>X</m:t>
              </m:r>
            </m:e>
          </m:d>
          <m:r>
            <m:rPr>
              <m:sty m:val="p"/>
            </m:rPr>
            <w:rPr>
              <w:rFonts w:ascii="Cambria Math" w:hAnsi="Cambria Math"/>
              <w:lang w:val="pt-BR"/>
            </w:rPr>
            <m:t>=</m:t>
          </m:r>
          <m:f>
            <m:fPr>
              <m:ctrlPr>
                <w:rPr>
                  <w:rFonts w:ascii="Cambria Math" w:hAnsi="Cambria Math"/>
                  <w:i/>
                  <w:iCs/>
                  <w:lang w:val="pt-BR"/>
                </w:rPr>
              </m:ctrlPr>
            </m:fPr>
            <m:num>
              <m:r>
                <m:rPr>
                  <m:sty m:val="p"/>
                </m:rPr>
                <w:rPr>
                  <w:rFonts w:ascii="Cambria Math" w:hAnsi="Cambria Math"/>
                  <w:lang w:val="pt-BR"/>
                </w:rPr>
                <m:t>1</m:t>
              </m:r>
            </m:num>
            <m:den>
              <m:r>
                <m:rPr>
                  <m:sty m:val="p"/>
                </m:rPr>
                <w:rPr>
                  <w:rFonts w:ascii="Cambria Math" w:hAnsi="Cambria Math"/>
                  <w:lang w:val="pt-BR"/>
                </w:rPr>
                <m:t>2</m:t>
              </m:r>
            </m:den>
          </m:f>
          <m:d>
            <m:dPr>
              <m:begChr m:val="["/>
              <m:endChr m:val="]"/>
              <m:ctrlPr>
                <w:rPr>
                  <w:rFonts w:ascii="Cambria Math" w:hAnsi="Cambria Math"/>
                  <w:i/>
                  <w:iCs/>
                  <w:lang w:val="pt-BR"/>
                </w:rPr>
              </m:ctrlPr>
            </m:dPr>
            <m:e>
              <m:r>
                <m:rPr>
                  <m:sty m:val="p"/>
                </m:rPr>
                <w:rPr>
                  <w:rFonts w:ascii="Cambria Math" w:hAnsi="Cambria Math"/>
                  <w:lang w:val="pt-BR"/>
                </w:rPr>
                <m:t>1+</m:t>
              </m:r>
              <m:func>
                <m:funcPr>
                  <m:ctrlPr>
                    <w:rPr>
                      <w:rFonts w:ascii="Cambria Math" w:hAnsi="Cambria Math"/>
                      <w:i/>
                      <w:iCs/>
                      <w:lang w:val="pt-BR"/>
                    </w:rPr>
                  </m:ctrlPr>
                </m:funcPr>
                <m:fName>
                  <m:r>
                    <m:rPr>
                      <m:sty m:val="p"/>
                    </m:rPr>
                    <w:rPr>
                      <w:rFonts w:ascii="Cambria Math" w:hAnsi="Cambria Math"/>
                      <w:lang w:val="pt-BR"/>
                    </w:rPr>
                    <m:t>log</m:t>
                  </m:r>
                </m:fName>
                <m:e>
                  <m:d>
                    <m:dPr>
                      <m:ctrlPr>
                        <w:rPr>
                          <w:rFonts w:ascii="Cambria Math" w:hAnsi="Cambria Math"/>
                          <w:i/>
                          <w:iCs/>
                          <w:lang w:val="pt-BR"/>
                        </w:rPr>
                      </m:ctrlPr>
                    </m:dPr>
                    <m:e>
                      <m:r>
                        <m:rPr>
                          <m:sty m:val="p"/>
                        </m:rPr>
                        <w:rPr>
                          <w:rFonts w:ascii="Cambria Math" w:hAnsi="Cambria Math"/>
                          <w:lang w:val="pt-BR"/>
                        </w:rPr>
                        <m:t>2</m:t>
                      </m:r>
                      <m:r>
                        <w:rPr>
                          <w:rFonts w:ascii="Cambria Math" w:hAnsi="Cambria Math"/>
                          <w:lang w:val="pt-BR"/>
                        </w:rPr>
                        <m:t>π</m:t>
                      </m:r>
                      <m:sSup>
                        <m:sSupPr>
                          <m:ctrlPr>
                            <w:rPr>
                              <w:rFonts w:ascii="Cambria Math" w:hAnsi="Cambria Math"/>
                              <w:i/>
                              <w:iCs/>
                              <w:lang w:val="pt-BR"/>
                            </w:rPr>
                          </m:ctrlPr>
                        </m:sSupPr>
                        <m:e>
                          <m:r>
                            <w:rPr>
                              <w:rFonts w:ascii="Cambria Math" w:hAnsi="Cambria Math"/>
                              <w:lang w:val="pt-BR"/>
                            </w:rPr>
                            <m:t>σ</m:t>
                          </m:r>
                        </m:e>
                        <m:sup>
                          <m:r>
                            <m:rPr>
                              <m:sty m:val="p"/>
                            </m:rPr>
                            <w:rPr>
                              <w:rFonts w:ascii="Cambria Math" w:hAnsi="Cambria Math"/>
                              <w:lang w:val="pt-BR"/>
                            </w:rPr>
                            <m:t>2</m:t>
                          </m:r>
                        </m:sup>
                      </m:sSup>
                    </m:e>
                  </m:d>
                </m:e>
              </m:func>
            </m:e>
          </m:d>
        </m:oMath>
      </m:oMathPara>
    </w:p>
    <w:p w:rsidR="0097289C" w:rsidRPr="0097289C" w:rsidRDefault="0097289C" w:rsidP="002036C7">
      <w:pPr>
        <w:jc w:val="both"/>
        <w:rPr>
          <w:iCs/>
          <w:lang w:val="pt-BR"/>
        </w:rPr>
      </w:pPr>
    </w:p>
    <w:p w:rsidR="002036C7" w:rsidRPr="0097289C" w:rsidRDefault="002036C7" w:rsidP="002036C7">
      <w:pPr>
        <w:jc w:val="both"/>
        <w:rPr>
          <w:lang w:val="pt-BR"/>
        </w:rPr>
      </w:pPr>
      <w:r w:rsidRPr="002036C7">
        <w:rPr>
          <w:lang w:val="pt-BR"/>
        </w:rPr>
        <w:t>P</w:t>
      </w:r>
      <w:r>
        <w:rPr>
          <w:lang w:val="pt-BR"/>
        </w:rPr>
        <w:t>ara uma determinada variância</w:t>
      </w:r>
      <m:oMath>
        <m:sSup>
          <m:sSupPr>
            <m:ctrlPr>
              <w:rPr>
                <w:rFonts w:ascii="Cambria Math" w:hAnsi="Cambria Math"/>
                <w:i/>
                <w:iCs/>
                <w:lang w:val="pt-BR"/>
              </w:rPr>
            </m:ctrlPr>
          </m:sSupPr>
          <m:e>
            <m:r>
              <w:rPr>
                <w:rFonts w:ascii="Cambria Math" w:hAnsi="Cambria Math"/>
                <w:lang w:val="pt-BR"/>
              </w:rPr>
              <m:t>σ</m:t>
            </m:r>
          </m:e>
          <m:sup>
            <m:r>
              <m:rPr>
                <m:sty m:val="p"/>
              </m:rPr>
              <w:rPr>
                <w:rFonts w:ascii="Cambria Math" w:hAnsi="Cambria Math"/>
                <w:lang w:val="pt-BR"/>
              </w:rPr>
              <m:t>2</m:t>
            </m:r>
          </m:sup>
        </m:sSup>
      </m:oMath>
      <w:r w:rsidRPr="002036C7">
        <w:rPr>
          <w:lang w:val="pt-BR"/>
        </w:rPr>
        <w:t>, a variável aleatória gaussiana tem a maior entropia diferencial alcançável por uma V.A.</w:t>
      </w:r>
    </w:p>
    <w:p w:rsidR="002036C7" w:rsidRDefault="002036C7" w:rsidP="002036C7">
      <w:pPr>
        <w:jc w:val="both"/>
        <w:rPr>
          <w:lang w:val="pt-BR"/>
        </w:rPr>
      </w:pPr>
      <w:r w:rsidRPr="002036C7">
        <w:rPr>
          <w:lang w:val="pt-BR"/>
        </w:rPr>
        <w:t>A entropia de uma VA gaussiana X é unicamente determinada pela variância de X (isto é, é independente da média de X).</w:t>
      </w:r>
      <w:r w:rsidR="002025C8">
        <w:rPr>
          <w:lang w:val="pt-BR"/>
        </w:rPr>
        <w:t xml:space="preserve"> Na figura 24 podemos ver a relação entre a máxima entropia e a variância.</w:t>
      </w:r>
    </w:p>
    <w:p w:rsidR="002025C8" w:rsidRDefault="002025C8" w:rsidP="002036C7">
      <w:pPr>
        <w:jc w:val="both"/>
        <w:rPr>
          <w:lang w:val="pt-BR"/>
        </w:rPr>
      </w:pPr>
    </w:p>
    <w:p w:rsidR="002025C8" w:rsidRDefault="000B06AF" w:rsidP="002036C7">
      <w:pPr>
        <w:jc w:val="both"/>
        <w:rPr>
          <w:lang w:val="pt-BR"/>
        </w:rPr>
      </w:pPr>
      <w:r w:rsidRPr="00711A64">
        <w:rPr>
          <w:noProof/>
          <w:lang w:val="pt-BR" w:eastAsia="pt-BR"/>
        </w:rPr>
        <w:drawing>
          <wp:anchor distT="0" distB="0" distL="114300" distR="114300" simplePos="0" relativeHeight="251660288" behindDoc="0" locked="0" layoutInCell="1" allowOverlap="1">
            <wp:simplePos x="0" y="0"/>
            <wp:positionH relativeFrom="margin">
              <wp:align>left</wp:align>
            </wp:positionH>
            <wp:positionV relativeFrom="paragraph">
              <wp:posOffset>635</wp:posOffset>
            </wp:positionV>
            <wp:extent cx="6232771" cy="2047875"/>
            <wp:effectExtent l="0" t="0" r="1905" b="0"/>
            <wp:wrapNone/>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pic:cNvPicPr>
                  </pic:nvPicPr>
                  <pic:blipFill>
                    <a:blip r:embed="rId40"/>
                    <a:stretch>
                      <a:fillRect/>
                    </a:stretch>
                  </pic:blipFill>
                  <pic:spPr>
                    <a:xfrm>
                      <a:off x="0" y="0"/>
                      <a:ext cx="6232771" cy="2047875"/>
                    </a:xfrm>
                    <a:prstGeom prst="rect">
                      <a:avLst/>
                    </a:prstGeom>
                  </pic:spPr>
                </pic:pic>
              </a:graphicData>
            </a:graphic>
          </wp:anchor>
        </w:drawing>
      </w:r>
    </w:p>
    <w:p w:rsidR="002025C8" w:rsidRDefault="002025C8" w:rsidP="002036C7">
      <w:pPr>
        <w:jc w:val="both"/>
        <w:rPr>
          <w:lang w:val="pt-BR"/>
        </w:rPr>
      </w:pPr>
    </w:p>
    <w:p w:rsidR="002025C8" w:rsidRDefault="002025C8" w:rsidP="002036C7">
      <w:pPr>
        <w:jc w:val="both"/>
        <w:rPr>
          <w:lang w:val="pt-BR"/>
        </w:rPr>
      </w:pPr>
    </w:p>
    <w:p w:rsidR="002025C8" w:rsidRDefault="002025C8" w:rsidP="002036C7">
      <w:pPr>
        <w:jc w:val="both"/>
        <w:rPr>
          <w:lang w:val="pt-BR"/>
        </w:rPr>
      </w:pPr>
    </w:p>
    <w:p w:rsidR="002025C8" w:rsidRDefault="002025C8" w:rsidP="002036C7">
      <w:pPr>
        <w:jc w:val="both"/>
        <w:rPr>
          <w:lang w:val="pt-BR"/>
        </w:rPr>
      </w:pPr>
    </w:p>
    <w:p w:rsidR="002025C8" w:rsidRDefault="002025C8" w:rsidP="002036C7">
      <w:pPr>
        <w:jc w:val="both"/>
        <w:rPr>
          <w:lang w:val="pt-BR"/>
        </w:rPr>
      </w:pPr>
    </w:p>
    <w:p w:rsidR="002025C8" w:rsidRDefault="002025C8" w:rsidP="007C0A09">
      <w:pPr>
        <w:jc w:val="center"/>
        <w:rPr>
          <w:lang w:val="pt-BR"/>
        </w:rPr>
      </w:pPr>
    </w:p>
    <w:p w:rsidR="007C0A09" w:rsidRDefault="007C0A09" w:rsidP="007C0A09">
      <w:pPr>
        <w:jc w:val="center"/>
        <w:rPr>
          <w:lang w:val="pt-BR"/>
        </w:rPr>
      </w:pPr>
    </w:p>
    <w:p w:rsidR="007C0A09" w:rsidRDefault="007C0A09" w:rsidP="007C0A09">
      <w:pPr>
        <w:jc w:val="center"/>
        <w:rPr>
          <w:lang w:val="pt-BR"/>
        </w:rPr>
      </w:pPr>
      <w:r w:rsidRPr="002025C8">
        <w:rPr>
          <w:lang w:val="pt-BR"/>
        </w:rPr>
        <w:t xml:space="preserve">Figura </w:t>
      </w:r>
      <w:r w:rsidR="002025C8" w:rsidRPr="002025C8">
        <w:rPr>
          <w:lang w:val="pt-BR"/>
        </w:rPr>
        <w:t>24</w:t>
      </w:r>
      <w:r w:rsidRPr="002025C8">
        <w:rPr>
          <w:lang w:val="pt-BR"/>
        </w:rPr>
        <w:t>: Metodologia desenvolvida</w:t>
      </w:r>
      <w:r w:rsidR="002036C7" w:rsidRPr="002025C8">
        <w:rPr>
          <w:lang w:val="pt-BR"/>
        </w:rPr>
        <w:t>: Princípio da Máxima Entropia</w:t>
      </w:r>
    </w:p>
    <w:p w:rsidR="002025C8" w:rsidRDefault="002025C8" w:rsidP="007C0A09">
      <w:pPr>
        <w:jc w:val="center"/>
        <w:rPr>
          <w:lang w:val="pt-BR"/>
        </w:rPr>
      </w:pPr>
    </w:p>
    <w:p w:rsidR="007C0A09" w:rsidRDefault="007C0A09" w:rsidP="007C0A09">
      <w:pPr>
        <w:jc w:val="both"/>
        <w:rPr>
          <w:lang w:val="pt-BR"/>
        </w:rPr>
      </w:pPr>
      <w:r w:rsidRPr="00FF5F31">
        <w:rPr>
          <w:b/>
          <w:lang w:val="pt-BR"/>
        </w:rPr>
        <w:t>CONJECTURA I (REPRESENTAÇÃO TOPOLÓGICA DE UM CONJUNTO DE INCERTEZAS E MEDIDA DE ENTROPIA)</w:t>
      </w:r>
    </w:p>
    <w:p w:rsidR="007C0A09" w:rsidRDefault="007C0A09" w:rsidP="007C0A09">
      <w:pPr>
        <w:jc w:val="both"/>
        <w:rPr>
          <w:lang w:val="pt-BR"/>
        </w:rPr>
      </w:pPr>
      <w:r w:rsidRPr="00711A64">
        <w:rPr>
          <w:lang w:val="pt-PT"/>
        </w:rPr>
        <w:t xml:space="preserve">A </w:t>
      </w:r>
      <w:r w:rsidRPr="00711A64">
        <w:rPr>
          <w:b/>
          <w:bCs/>
          <w:lang w:val="pt-PT"/>
        </w:rPr>
        <w:t xml:space="preserve">conjectura I </w:t>
      </w:r>
      <w:r w:rsidRPr="00711A64">
        <w:rPr>
          <w:lang w:val="pt-PT"/>
        </w:rPr>
        <w:t xml:space="preserve">afirma que qualquer representação do sistema em um conjunto finito de estados de um fluxo contínuo com distintos fins aleatórios, pode ser representado a partir da transformação da variável aleatória i (medida do estado final i ) em sua entropia diferencial máxima i, em uma </w:t>
      </w:r>
      <w:r w:rsidRPr="00711A64">
        <w:rPr>
          <w:u w:val="single"/>
          <w:lang w:val="pt-PT"/>
        </w:rPr>
        <w:t xml:space="preserve">variedade “composta” tridimensional </w:t>
      </w:r>
      <w:r w:rsidRPr="00711A64">
        <w:rPr>
          <w:lang w:val="pt-PT"/>
        </w:rPr>
        <w:t xml:space="preserve">fechada e com grupo fundamental (simplesmente conexo) trivial. O arranjo geométrico é feito a partir da união das variedades i através de cilindros de dimensão 1. Ou seja, a superfície tridimensional final da composição geométrica </w:t>
      </w:r>
      <w:r w:rsidRPr="00711A64">
        <w:rPr>
          <w:u w:val="single"/>
          <w:lang w:val="pt-PT"/>
        </w:rPr>
        <w:t>também</w:t>
      </w:r>
      <w:r w:rsidRPr="00711A64">
        <w:rPr>
          <w:lang w:val="pt-PT"/>
        </w:rPr>
        <w:t xml:space="preserve"> irá convergir para  a um simples ponto a partir do fluxo geométrico aplicado.</w:t>
      </w:r>
    </w:p>
    <w:p w:rsidR="007C0A09" w:rsidRPr="00FF5F31" w:rsidRDefault="007C0A09" w:rsidP="007C0A09">
      <w:pPr>
        <w:jc w:val="both"/>
        <w:rPr>
          <w:b/>
          <w:lang w:val="pt-BR"/>
        </w:rPr>
      </w:pPr>
      <w:r w:rsidRPr="00FF5F31">
        <w:rPr>
          <w:b/>
          <w:lang w:val="pt-BR"/>
        </w:rPr>
        <w:t xml:space="preserve">CONJECTURA II (REPRESENTAÇÃO DA MEDIDA DE COMPLEXIDADE ATRAVÉS DO TEMPO DE COLAPSO DA TOPOLOGIA) </w:t>
      </w:r>
    </w:p>
    <w:p w:rsidR="007C0A09" w:rsidRPr="00711A64" w:rsidRDefault="007C0A09" w:rsidP="007C0A09">
      <w:pPr>
        <w:jc w:val="both"/>
        <w:rPr>
          <w:lang w:val="pt-BR"/>
        </w:rPr>
      </w:pPr>
      <w:r w:rsidRPr="00711A64">
        <w:rPr>
          <w:lang w:val="pt-PT"/>
        </w:rPr>
        <w:t xml:space="preserve">A </w:t>
      </w:r>
      <w:r w:rsidRPr="00711A64">
        <w:rPr>
          <w:b/>
          <w:bCs/>
          <w:lang w:val="pt-PT"/>
        </w:rPr>
        <w:t xml:space="preserve">conjectura II </w:t>
      </w:r>
      <w:r w:rsidRPr="00711A64">
        <w:rPr>
          <w:lang w:val="pt-PT"/>
        </w:rPr>
        <w:t xml:space="preserve">afirma que a complexidade do sistema modelado a partir da </w:t>
      </w:r>
      <w:r w:rsidRPr="00711A64">
        <w:rPr>
          <w:b/>
          <w:bCs/>
          <w:lang w:val="pt-PT"/>
        </w:rPr>
        <w:t>conjectura I</w:t>
      </w:r>
      <w:r w:rsidRPr="00711A64">
        <w:rPr>
          <w:lang w:val="pt-PT"/>
        </w:rPr>
        <w:t xml:space="preserve"> é medida pelo tempo de extinção total (colapso) da variedade (com possíveis sólitons formados) a partir da aplicação do fluxo geométrico. </w:t>
      </w:r>
    </w:p>
    <w:p w:rsidR="00373302" w:rsidRPr="003150E1" w:rsidRDefault="00373302" w:rsidP="003150E1">
      <w:pPr>
        <w:jc w:val="both"/>
        <w:rPr>
          <w:lang w:val="pt-BR"/>
        </w:rPr>
      </w:pPr>
    </w:p>
    <w:p w:rsidR="00271A86" w:rsidRPr="00154023" w:rsidRDefault="00476673" w:rsidP="003150E1">
      <w:pPr>
        <w:jc w:val="both"/>
        <w:rPr>
          <w:b/>
          <w:lang w:val="pt-BR"/>
        </w:rPr>
      </w:pPr>
      <w:r>
        <w:rPr>
          <w:b/>
          <w:lang w:val="pt-BR"/>
        </w:rPr>
        <w:t>5</w:t>
      </w:r>
      <w:r w:rsidR="00D969EA" w:rsidRPr="00154023">
        <w:rPr>
          <w:b/>
          <w:lang w:val="pt-BR"/>
        </w:rPr>
        <w:t>REFERÊNCIA</w:t>
      </w:r>
      <w:r w:rsidR="00D42FC0" w:rsidRPr="00154023">
        <w:rPr>
          <w:b/>
          <w:lang w:val="pt-BR"/>
        </w:rPr>
        <w:t>S</w:t>
      </w:r>
    </w:p>
    <w:p w:rsidR="00154023" w:rsidRPr="00154023" w:rsidRDefault="00711E18" w:rsidP="00154023">
      <w:pPr>
        <w:jc w:val="both"/>
        <w:rPr>
          <w:lang w:val="pt-BR"/>
        </w:rPr>
      </w:pPr>
      <w:r w:rsidRPr="00EB589B">
        <w:rPr>
          <w:lang w:val="pt-BR"/>
        </w:rPr>
        <w:t>[1</w:t>
      </w:r>
      <w:r w:rsidR="00204F0B" w:rsidRPr="00EB589B">
        <w:rPr>
          <w:lang w:val="pt-BR"/>
        </w:rPr>
        <w:t xml:space="preserve">] </w:t>
      </w:r>
      <w:r w:rsidR="00154023" w:rsidRPr="00EB589B">
        <w:rPr>
          <w:lang w:val="pt-BR"/>
        </w:rPr>
        <w:t xml:space="preserve">JACINTO, CARLOS MAGNO C. et al, 2009. </w:t>
      </w:r>
      <w:r w:rsidR="00154023" w:rsidRPr="00154023">
        <w:rPr>
          <w:lang w:val="pt-BR"/>
        </w:rPr>
        <w:t>Aspectos teóricos e metodológicos para a realização de uma análise quantitativa de risco na construção e restauração de poços. Boletim Técnico da Produção de Petróleo, PETROBRAS, Vol I, No 1.</w:t>
      </w:r>
    </w:p>
    <w:p w:rsidR="002033F7" w:rsidRPr="009A0798" w:rsidRDefault="00154023" w:rsidP="003150E1">
      <w:pPr>
        <w:jc w:val="both"/>
        <w:rPr>
          <w:lang w:val="pt-BR"/>
        </w:rPr>
      </w:pPr>
      <w:r w:rsidRPr="009A0798">
        <w:t xml:space="preserve">[2] WEISBUCH, G. Complex System Dynamics. </w:t>
      </w:r>
      <w:r w:rsidRPr="00154023">
        <w:rPr>
          <w:lang w:val="pt-BR"/>
        </w:rPr>
        <w:t>Santa Fe Institute.</w:t>
      </w:r>
    </w:p>
    <w:p w:rsidR="00154023" w:rsidRPr="00154023" w:rsidRDefault="00154023" w:rsidP="00154023">
      <w:pPr>
        <w:jc w:val="both"/>
      </w:pPr>
      <w:r w:rsidRPr="009A0798">
        <w:rPr>
          <w:lang w:val="pt-BR"/>
        </w:rPr>
        <w:t xml:space="preserve">[3] API 17N, 2009. </w:t>
      </w:r>
      <w:r w:rsidRPr="00154023">
        <w:t>Recommended Practice for Subsea Production System Reliability and Technical Risk Management.</w:t>
      </w:r>
    </w:p>
    <w:p w:rsidR="002033F7" w:rsidRPr="003150E1" w:rsidRDefault="00154023" w:rsidP="00154023">
      <w:pPr>
        <w:jc w:val="both"/>
        <w:rPr>
          <w:lang w:val="pt-BR"/>
        </w:rPr>
      </w:pPr>
      <w:r>
        <w:rPr>
          <w:lang w:val="pt-BR"/>
        </w:rPr>
        <w:t xml:space="preserve">[4] </w:t>
      </w:r>
      <w:r w:rsidRPr="00154023">
        <w:rPr>
          <w:lang w:val="pt-BR"/>
        </w:rPr>
        <w:t>ISO 16530-1, 2007. Life cyclegovernance.</w:t>
      </w:r>
    </w:p>
    <w:sectPr w:rsidR="002033F7" w:rsidRPr="003150E1" w:rsidSect="00DC766A">
      <w:headerReference w:type="default" r:id="rId41"/>
      <w:headerReference w:type="first" r:id="rId42"/>
      <w:footerReference w:type="first" r:id="rId43"/>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1F0" w:rsidRDefault="004C11F0" w:rsidP="00BB52FE">
      <w:pPr>
        <w:spacing w:after="0" w:line="240" w:lineRule="auto"/>
      </w:pPr>
      <w:r>
        <w:separator/>
      </w:r>
    </w:p>
  </w:endnote>
  <w:endnote w:type="continuationSeparator" w:id="1">
    <w:p w:rsidR="004C11F0" w:rsidRDefault="004C11F0"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6A" w:rsidRDefault="009C28B8" w:rsidP="00DC766A">
    <w:pPr>
      <w:pStyle w:val="Rodap"/>
      <w:rPr>
        <w:sz w:val="16"/>
        <w:lang w:val="pt-BR"/>
      </w:rPr>
    </w:pPr>
    <w:r>
      <w:rPr>
        <w:sz w:val="16"/>
        <w:lang w:val="pt-BR"/>
      </w:rPr>
      <w:t>1 D.Sc.</w:t>
    </w:r>
    <w:r w:rsidR="00DC766A" w:rsidRPr="00DC766A">
      <w:rPr>
        <w:sz w:val="16"/>
        <w:lang w:val="pt-BR"/>
      </w:rPr>
      <w:t xml:space="preserve">, </w:t>
    </w:r>
    <w:r>
      <w:rPr>
        <w:sz w:val="16"/>
        <w:lang w:val="pt-BR"/>
      </w:rPr>
      <w:t>Pesquisador</w:t>
    </w:r>
    <w:r w:rsidR="00DC766A" w:rsidRPr="00DC766A">
      <w:rPr>
        <w:sz w:val="16"/>
        <w:lang w:val="pt-BR"/>
      </w:rPr>
      <w:t xml:space="preserve"> – </w:t>
    </w:r>
    <w:r>
      <w:rPr>
        <w:sz w:val="16"/>
        <w:lang w:val="pt-BR"/>
      </w:rPr>
      <w:t>PETROBRAS</w:t>
    </w:r>
    <w:r w:rsidR="00563F28">
      <w:rPr>
        <w:sz w:val="16"/>
        <w:lang w:val="pt-BR"/>
      </w:rPr>
      <w:t>/CENPES</w:t>
    </w:r>
  </w:p>
  <w:p w:rsidR="009C28B8" w:rsidRDefault="009C28B8" w:rsidP="00DC766A">
    <w:pPr>
      <w:pStyle w:val="Rodap"/>
      <w:rPr>
        <w:sz w:val="16"/>
        <w:lang w:val="pt-BR"/>
      </w:rPr>
    </w:pPr>
  </w:p>
  <w:p w:rsidR="009C28B8" w:rsidRPr="00DC766A" w:rsidRDefault="009C28B8" w:rsidP="00DC766A">
    <w:pPr>
      <w:pStyle w:val="Rodap"/>
      <w:rPr>
        <w:sz w:val="16"/>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1F0" w:rsidRDefault="004C11F0" w:rsidP="00BB52FE">
      <w:pPr>
        <w:spacing w:after="0" w:line="240" w:lineRule="auto"/>
      </w:pPr>
      <w:r>
        <w:separator/>
      </w:r>
    </w:p>
  </w:footnote>
  <w:footnote w:type="continuationSeparator" w:id="1">
    <w:p w:rsidR="004C11F0" w:rsidRDefault="004C11F0"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5C" w:rsidRDefault="00C06685">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rsidR="00460E5C">
      <w:t xml:space="preserve">paper: </w:t>
    </w:r>
    <w:r>
      <w:t>01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DC2" w:rsidRDefault="00483DC2"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paper: 01</w:t>
    </w:r>
  </w:p>
  <w:p w:rsidR="00373302" w:rsidRDefault="0037330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6C563E2"/>
    <w:multiLevelType w:val="hybridMultilevel"/>
    <w:tmpl w:val="3F3C3FDA"/>
    <w:lvl w:ilvl="0" w:tplc="EC8EA524">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FAB4EE9"/>
    <w:multiLevelType w:val="multilevel"/>
    <w:tmpl w:val="0984657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76530DD"/>
    <w:multiLevelType w:val="hybridMultilevel"/>
    <w:tmpl w:val="A52299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85C4969"/>
    <w:multiLevelType w:val="hybridMultilevel"/>
    <w:tmpl w:val="FC3AEECE"/>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C052CC6"/>
    <w:multiLevelType w:val="hybridMultilevel"/>
    <w:tmpl w:val="BE2E8D54"/>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CFB5823"/>
    <w:multiLevelType w:val="hybridMultilevel"/>
    <w:tmpl w:val="DDD61198"/>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B6E2723"/>
    <w:multiLevelType w:val="hybridMultilevel"/>
    <w:tmpl w:val="660A17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D5E7DFB"/>
    <w:multiLevelType w:val="hybridMultilevel"/>
    <w:tmpl w:val="B0F64760"/>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8">
    <w:nsid w:val="403D1933"/>
    <w:multiLevelType w:val="multilevel"/>
    <w:tmpl w:val="4628C342"/>
    <w:lvl w:ilvl="0">
      <w:start w:val="1"/>
      <w:numFmt w:val="decimal"/>
      <w:pStyle w:val="Ttulo1"/>
      <w:lvlText w:val="%1"/>
      <w:lvlJc w:val="left"/>
      <w:pPr>
        <w:tabs>
          <w:tab w:val="num" w:pos="858"/>
        </w:tabs>
        <w:ind w:left="858" w:hanging="432"/>
      </w:pPr>
    </w:lvl>
    <w:lvl w:ilvl="1">
      <w:start w:val="1"/>
      <w:numFmt w:val="decimal"/>
      <w:pStyle w:val="Ttulo2"/>
      <w:lvlText w:val="%1.%2"/>
      <w:lvlJc w:val="left"/>
      <w:pPr>
        <w:tabs>
          <w:tab w:val="num" w:pos="860"/>
        </w:tabs>
        <w:ind w:left="860" w:hanging="576"/>
      </w:pPr>
      <w:rPr>
        <w:rFonts w:ascii="Arial" w:hAnsi="Arial" w:cs="Arial" w:hint="default"/>
      </w:r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148"/>
        </w:tabs>
        <w:ind w:left="1148" w:hanging="864"/>
      </w:pPr>
    </w:lvl>
    <w:lvl w:ilvl="4">
      <w:start w:val="1"/>
      <w:numFmt w:val="decimal"/>
      <w:pStyle w:val="Ttulo5"/>
      <w:lvlText w:val="%1.%2.%3.%4.%5"/>
      <w:lvlJc w:val="left"/>
      <w:pPr>
        <w:tabs>
          <w:tab w:val="num" w:pos="1292"/>
        </w:tabs>
        <w:ind w:left="1292" w:hanging="1008"/>
      </w:pPr>
    </w:lvl>
    <w:lvl w:ilvl="5">
      <w:start w:val="1"/>
      <w:numFmt w:val="decimal"/>
      <w:pStyle w:val="Ttulo6"/>
      <w:lvlText w:val="%1.%2.%3.%4.%5.%6"/>
      <w:lvlJc w:val="left"/>
      <w:pPr>
        <w:tabs>
          <w:tab w:val="num" w:pos="1436"/>
        </w:tabs>
        <w:ind w:left="1436" w:hanging="1152"/>
      </w:pPr>
    </w:lvl>
    <w:lvl w:ilvl="6">
      <w:start w:val="1"/>
      <w:numFmt w:val="decimal"/>
      <w:pStyle w:val="Ttulo7"/>
      <w:lvlText w:val="%1.%2.%3.%4.%5.%6.%7"/>
      <w:lvlJc w:val="left"/>
      <w:pPr>
        <w:tabs>
          <w:tab w:val="num" w:pos="1580"/>
        </w:tabs>
        <w:ind w:left="1580" w:hanging="1296"/>
      </w:pPr>
    </w:lvl>
    <w:lvl w:ilvl="7">
      <w:start w:val="1"/>
      <w:numFmt w:val="decimal"/>
      <w:pStyle w:val="Ttulo8"/>
      <w:lvlText w:val="%1.%2.%3.%4.%5.%6.%7.%8"/>
      <w:lvlJc w:val="left"/>
      <w:pPr>
        <w:tabs>
          <w:tab w:val="num" w:pos="1724"/>
        </w:tabs>
        <w:ind w:left="1724" w:hanging="1440"/>
      </w:pPr>
    </w:lvl>
    <w:lvl w:ilvl="8">
      <w:start w:val="1"/>
      <w:numFmt w:val="decimal"/>
      <w:pStyle w:val="Ttulo9"/>
      <w:lvlText w:val="%1.%2.%3.%4.%5.%6.%7.%8.%9"/>
      <w:lvlJc w:val="left"/>
      <w:pPr>
        <w:tabs>
          <w:tab w:val="num" w:pos="1868"/>
        </w:tabs>
        <w:ind w:left="1868" w:hanging="1584"/>
      </w:pPr>
    </w:lvl>
  </w:abstractNum>
  <w:abstractNum w:abstractNumId="19">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0">
    <w:nsid w:val="420742B4"/>
    <w:multiLevelType w:val="hybridMultilevel"/>
    <w:tmpl w:val="6AF0016C"/>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49E1B1B"/>
    <w:multiLevelType w:val="hybridMultilevel"/>
    <w:tmpl w:val="2F286CCE"/>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0A9079E"/>
    <w:multiLevelType w:val="hybridMultilevel"/>
    <w:tmpl w:val="F310416E"/>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31019A2"/>
    <w:multiLevelType w:val="hybridMultilevel"/>
    <w:tmpl w:val="417CC81A"/>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4F1351D"/>
    <w:multiLevelType w:val="hybridMultilevel"/>
    <w:tmpl w:val="AD2C09B8"/>
    <w:lvl w:ilvl="0" w:tplc="755E124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D243AC0"/>
    <w:multiLevelType w:val="hybridMultilevel"/>
    <w:tmpl w:val="96D882C2"/>
    <w:lvl w:ilvl="0" w:tplc="CD0A8786">
      <w:start w:val="1"/>
      <w:numFmt w:val="decimal"/>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8">
    <w:nsid w:val="6EA04136"/>
    <w:multiLevelType w:val="hybridMultilevel"/>
    <w:tmpl w:val="E3EEDDEC"/>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11"/>
  </w:num>
  <w:num w:numId="3">
    <w:abstractNumId w:val="26"/>
  </w:num>
  <w:num w:numId="4">
    <w:abstractNumId w:val="19"/>
  </w:num>
  <w:num w:numId="5">
    <w:abstractNumId w:val="29"/>
  </w:num>
  <w:num w:numId="6">
    <w:abstractNumId w:val="6"/>
  </w:num>
  <w:num w:numId="7">
    <w:abstractNumId w:val="2"/>
  </w:num>
  <w:num w:numId="8">
    <w:abstractNumId w:val="17"/>
  </w:num>
  <w:num w:numId="9">
    <w:abstractNumId w:val="0"/>
  </w:num>
  <w:num w:numId="10">
    <w:abstractNumId w:val="14"/>
  </w:num>
  <w:num w:numId="11">
    <w:abstractNumId w:val="4"/>
  </w:num>
  <w:num w:numId="12">
    <w:abstractNumId w:val="22"/>
  </w:num>
  <w:num w:numId="13">
    <w:abstractNumId w:val="8"/>
  </w:num>
  <w:num w:numId="14">
    <w:abstractNumId w:val="13"/>
  </w:num>
  <w:num w:numId="15">
    <w:abstractNumId w:val="18"/>
  </w:num>
  <w:num w:numId="16">
    <w:abstractNumId w:val="27"/>
  </w:num>
  <w:num w:numId="17">
    <w:abstractNumId w:val="24"/>
  </w:num>
  <w:num w:numId="18">
    <w:abstractNumId w:val="25"/>
  </w:num>
  <w:num w:numId="19">
    <w:abstractNumId w:val="1"/>
  </w:num>
  <w:num w:numId="20">
    <w:abstractNumId w:val="15"/>
  </w:num>
  <w:num w:numId="21">
    <w:abstractNumId w:val="28"/>
  </w:num>
  <w:num w:numId="22">
    <w:abstractNumId w:val="23"/>
  </w:num>
  <w:num w:numId="23">
    <w:abstractNumId w:val="16"/>
  </w:num>
  <w:num w:numId="24">
    <w:abstractNumId w:val="10"/>
  </w:num>
  <w:num w:numId="25">
    <w:abstractNumId w:val="9"/>
  </w:num>
  <w:num w:numId="26">
    <w:abstractNumId w:val="21"/>
  </w:num>
  <w:num w:numId="27">
    <w:abstractNumId w:val="12"/>
  </w:num>
  <w:num w:numId="28">
    <w:abstractNumId w:val="20"/>
  </w:num>
  <w:num w:numId="29">
    <w:abstractNumId w:val="3"/>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6651D"/>
    <w:rsid w:val="00073457"/>
    <w:rsid w:val="00080665"/>
    <w:rsid w:val="00082556"/>
    <w:rsid w:val="00085B79"/>
    <w:rsid w:val="000A7251"/>
    <w:rsid w:val="000B06AF"/>
    <w:rsid w:val="000E5CBB"/>
    <w:rsid w:val="000F17C1"/>
    <w:rsid w:val="000F28BE"/>
    <w:rsid w:val="001225B7"/>
    <w:rsid w:val="00126850"/>
    <w:rsid w:val="001403DA"/>
    <w:rsid w:val="00154023"/>
    <w:rsid w:val="00170E2A"/>
    <w:rsid w:val="00173B06"/>
    <w:rsid w:val="001B74BD"/>
    <w:rsid w:val="001D08CA"/>
    <w:rsid w:val="001D0DE2"/>
    <w:rsid w:val="001E414E"/>
    <w:rsid w:val="001F36AA"/>
    <w:rsid w:val="001F51AD"/>
    <w:rsid w:val="002025C8"/>
    <w:rsid w:val="002033F7"/>
    <w:rsid w:val="002036C7"/>
    <w:rsid w:val="00204C9A"/>
    <w:rsid w:val="00204F0B"/>
    <w:rsid w:val="00204F13"/>
    <w:rsid w:val="0026458C"/>
    <w:rsid w:val="00271A86"/>
    <w:rsid w:val="00277BF0"/>
    <w:rsid w:val="00290742"/>
    <w:rsid w:val="00295992"/>
    <w:rsid w:val="002A1AE3"/>
    <w:rsid w:val="002A4355"/>
    <w:rsid w:val="002B5194"/>
    <w:rsid w:val="002C2B3F"/>
    <w:rsid w:val="002C3A9E"/>
    <w:rsid w:val="002C68C0"/>
    <w:rsid w:val="00307776"/>
    <w:rsid w:val="00311075"/>
    <w:rsid w:val="003150E1"/>
    <w:rsid w:val="00336903"/>
    <w:rsid w:val="003721BA"/>
    <w:rsid w:val="00373302"/>
    <w:rsid w:val="0039740A"/>
    <w:rsid w:val="00397432"/>
    <w:rsid w:val="003A5313"/>
    <w:rsid w:val="003C1003"/>
    <w:rsid w:val="003E1F15"/>
    <w:rsid w:val="004162A1"/>
    <w:rsid w:val="00426A11"/>
    <w:rsid w:val="00460B1C"/>
    <w:rsid w:val="00460E5C"/>
    <w:rsid w:val="00472303"/>
    <w:rsid w:val="00476673"/>
    <w:rsid w:val="00483DC2"/>
    <w:rsid w:val="004A7C59"/>
    <w:rsid w:val="004A7DF0"/>
    <w:rsid w:val="004B6CE3"/>
    <w:rsid w:val="004C11F0"/>
    <w:rsid w:val="0050130B"/>
    <w:rsid w:val="00501C39"/>
    <w:rsid w:val="005025A6"/>
    <w:rsid w:val="00523B01"/>
    <w:rsid w:val="0053629A"/>
    <w:rsid w:val="00537364"/>
    <w:rsid w:val="00541FAF"/>
    <w:rsid w:val="00563F28"/>
    <w:rsid w:val="00574D0D"/>
    <w:rsid w:val="00583E1C"/>
    <w:rsid w:val="00590F07"/>
    <w:rsid w:val="005B351F"/>
    <w:rsid w:val="005B432C"/>
    <w:rsid w:val="005E1F81"/>
    <w:rsid w:val="005F1C0D"/>
    <w:rsid w:val="005F2E29"/>
    <w:rsid w:val="005F41DF"/>
    <w:rsid w:val="006067ED"/>
    <w:rsid w:val="006311E0"/>
    <w:rsid w:val="00665485"/>
    <w:rsid w:val="00665D0B"/>
    <w:rsid w:val="00673430"/>
    <w:rsid w:val="00686800"/>
    <w:rsid w:val="00687B87"/>
    <w:rsid w:val="006C1122"/>
    <w:rsid w:val="006C2639"/>
    <w:rsid w:val="006D245C"/>
    <w:rsid w:val="006E263E"/>
    <w:rsid w:val="007061EF"/>
    <w:rsid w:val="00710644"/>
    <w:rsid w:val="00711A64"/>
    <w:rsid w:val="00711E18"/>
    <w:rsid w:val="00726B2F"/>
    <w:rsid w:val="00730A83"/>
    <w:rsid w:val="00745CED"/>
    <w:rsid w:val="00772DAD"/>
    <w:rsid w:val="007C0A09"/>
    <w:rsid w:val="007C410A"/>
    <w:rsid w:val="007D6EBF"/>
    <w:rsid w:val="007D7B45"/>
    <w:rsid w:val="00817ACD"/>
    <w:rsid w:val="00837F5E"/>
    <w:rsid w:val="00856A7D"/>
    <w:rsid w:val="008A2C61"/>
    <w:rsid w:val="008D42D4"/>
    <w:rsid w:val="008F40E0"/>
    <w:rsid w:val="008F5718"/>
    <w:rsid w:val="00956142"/>
    <w:rsid w:val="0097289C"/>
    <w:rsid w:val="00977F44"/>
    <w:rsid w:val="009A0798"/>
    <w:rsid w:val="009C28B8"/>
    <w:rsid w:val="009E4CE8"/>
    <w:rsid w:val="009F08C7"/>
    <w:rsid w:val="009F0BF2"/>
    <w:rsid w:val="00A10018"/>
    <w:rsid w:val="00A47FCC"/>
    <w:rsid w:val="00A675D8"/>
    <w:rsid w:val="00A743C4"/>
    <w:rsid w:val="00AC4989"/>
    <w:rsid w:val="00AD02E4"/>
    <w:rsid w:val="00AD29CD"/>
    <w:rsid w:val="00AE5369"/>
    <w:rsid w:val="00AF130F"/>
    <w:rsid w:val="00B14736"/>
    <w:rsid w:val="00B15494"/>
    <w:rsid w:val="00B16732"/>
    <w:rsid w:val="00B234EC"/>
    <w:rsid w:val="00B235C8"/>
    <w:rsid w:val="00B23B18"/>
    <w:rsid w:val="00B377AF"/>
    <w:rsid w:val="00B46757"/>
    <w:rsid w:val="00B606D6"/>
    <w:rsid w:val="00B65283"/>
    <w:rsid w:val="00B67FEF"/>
    <w:rsid w:val="00B728AC"/>
    <w:rsid w:val="00B917D4"/>
    <w:rsid w:val="00BA4E7E"/>
    <w:rsid w:val="00BB188E"/>
    <w:rsid w:val="00BB52FE"/>
    <w:rsid w:val="00BF3396"/>
    <w:rsid w:val="00C06685"/>
    <w:rsid w:val="00C102C7"/>
    <w:rsid w:val="00C20157"/>
    <w:rsid w:val="00C37054"/>
    <w:rsid w:val="00C404E6"/>
    <w:rsid w:val="00C61F09"/>
    <w:rsid w:val="00C71B65"/>
    <w:rsid w:val="00C75810"/>
    <w:rsid w:val="00C75BEA"/>
    <w:rsid w:val="00C80D55"/>
    <w:rsid w:val="00CA44D9"/>
    <w:rsid w:val="00CB5DD2"/>
    <w:rsid w:val="00CC7D49"/>
    <w:rsid w:val="00CE09E1"/>
    <w:rsid w:val="00CF2B2B"/>
    <w:rsid w:val="00D00D94"/>
    <w:rsid w:val="00D162E0"/>
    <w:rsid w:val="00D35C89"/>
    <w:rsid w:val="00D42FC0"/>
    <w:rsid w:val="00D60F70"/>
    <w:rsid w:val="00D65CBD"/>
    <w:rsid w:val="00D7330E"/>
    <w:rsid w:val="00D77725"/>
    <w:rsid w:val="00D82BF2"/>
    <w:rsid w:val="00D839C8"/>
    <w:rsid w:val="00D969EA"/>
    <w:rsid w:val="00DC766A"/>
    <w:rsid w:val="00DD04C8"/>
    <w:rsid w:val="00E00F1C"/>
    <w:rsid w:val="00E01E00"/>
    <w:rsid w:val="00E24A22"/>
    <w:rsid w:val="00E273EE"/>
    <w:rsid w:val="00E444B0"/>
    <w:rsid w:val="00EB1B8E"/>
    <w:rsid w:val="00EB589B"/>
    <w:rsid w:val="00ED64ED"/>
    <w:rsid w:val="00ED724E"/>
    <w:rsid w:val="00F17A25"/>
    <w:rsid w:val="00F317FA"/>
    <w:rsid w:val="00F32BA2"/>
    <w:rsid w:val="00F46BB1"/>
    <w:rsid w:val="00F470F9"/>
    <w:rsid w:val="00F803AB"/>
    <w:rsid w:val="00FA4939"/>
    <w:rsid w:val="00FD00BD"/>
    <w:rsid w:val="00FD53FD"/>
    <w:rsid w:val="00FF37FA"/>
    <w:rsid w:val="00FF5F31"/>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5B7"/>
  </w:style>
  <w:style w:type="paragraph" w:styleId="Ttulo1">
    <w:name w:val="heading 1"/>
    <w:basedOn w:val="Normal"/>
    <w:next w:val="Texto"/>
    <w:link w:val="Ttulo1Char"/>
    <w:qFormat/>
    <w:rsid w:val="003A5313"/>
    <w:pPr>
      <w:widowControl w:val="0"/>
      <w:numPr>
        <w:numId w:val="15"/>
      </w:numPr>
      <w:tabs>
        <w:tab w:val="left" w:pos="284"/>
      </w:tabs>
      <w:spacing w:before="240" w:after="0" w:line="240" w:lineRule="auto"/>
      <w:outlineLvl w:val="0"/>
    </w:pPr>
    <w:rPr>
      <w:rFonts w:ascii="Arial" w:eastAsia="Batang" w:hAnsi="Arial" w:cs="Arial"/>
      <w:b/>
      <w:caps/>
      <w:kern w:val="28"/>
      <w:sz w:val="24"/>
      <w:szCs w:val="24"/>
      <w:lang w:val="pt-BR" w:eastAsia="pt-BR"/>
    </w:rPr>
  </w:style>
  <w:style w:type="paragraph" w:styleId="Ttulo2">
    <w:name w:val="heading 2"/>
    <w:basedOn w:val="Ttulo1"/>
    <w:link w:val="Ttulo2Char"/>
    <w:qFormat/>
    <w:rsid w:val="003A5313"/>
    <w:pPr>
      <w:numPr>
        <w:ilvl w:val="1"/>
      </w:numPr>
      <w:outlineLvl w:val="1"/>
    </w:pPr>
    <w:rPr>
      <w:caps w:val="0"/>
    </w:rPr>
  </w:style>
  <w:style w:type="paragraph" w:styleId="Ttulo3">
    <w:name w:val="heading 3"/>
    <w:basedOn w:val="Normal"/>
    <w:link w:val="Ttulo3Char"/>
    <w:qFormat/>
    <w:rsid w:val="003A5313"/>
    <w:pPr>
      <w:keepNext/>
      <w:numPr>
        <w:ilvl w:val="2"/>
        <w:numId w:val="15"/>
      </w:numPr>
      <w:spacing w:before="240" w:after="240" w:line="240" w:lineRule="auto"/>
      <w:jc w:val="both"/>
      <w:outlineLvl w:val="2"/>
    </w:pPr>
    <w:rPr>
      <w:rFonts w:ascii="Arial" w:eastAsia="Batang" w:hAnsi="Arial" w:cs="Arial"/>
      <w:b/>
      <w:lang w:val="pt-BR" w:eastAsia="pt-BR"/>
    </w:rPr>
  </w:style>
  <w:style w:type="paragraph" w:styleId="Ttulo4">
    <w:name w:val="heading 4"/>
    <w:basedOn w:val="Normal"/>
    <w:next w:val="Normal"/>
    <w:link w:val="Ttulo4Char"/>
    <w:qFormat/>
    <w:rsid w:val="003A5313"/>
    <w:pPr>
      <w:keepNext/>
      <w:numPr>
        <w:ilvl w:val="3"/>
        <w:numId w:val="15"/>
      </w:numPr>
      <w:spacing w:before="120" w:after="120" w:line="240" w:lineRule="auto"/>
      <w:ind w:right="851"/>
      <w:jc w:val="both"/>
      <w:outlineLvl w:val="3"/>
    </w:pPr>
    <w:rPr>
      <w:rFonts w:ascii="Times New Roman" w:eastAsia="Batang" w:hAnsi="Times New Roman" w:cs="Times New Roman"/>
      <w:position w:val="-2"/>
      <w:sz w:val="24"/>
      <w:szCs w:val="20"/>
      <w:lang w:val="pt-BR" w:eastAsia="pt-BR"/>
    </w:rPr>
  </w:style>
  <w:style w:type="paragraph" w:styleId="Ttulo5">
    <w:name w:val="heading 5"/>
    <w:basedOn w:val="Normal"/>
    <w:next w:val="Normal"/>
    <w:link w:val="Ttulo5Char"/>
    <w:qFormat/>
    <w:rsid w:val="003A5313"/>
    <w:pPr>
      <w:keepNext/>
      <w:numPr>
        <w:ilvl w:val="4"/>
        <w:numId w:val="15"/>
      </w:numPr>
      <w:tabs>
        <w:tab w:val="clear" w:pos="1292"/>
      </w:tabs>
      <w:spacing w:before="40" w:after="0" w:line="240" w:lineRule="auto"/>
      <w:ind w:left="2552" w:right="964" w:hanging="1418"/>
      <w:jc w:val="both"/>
      <w:outlineLvl w:val="4"/>
    </w:pPr>
    <w:rPr>
      <w:rFonts w:ascii="Times New Roman" w:eastAsia="Arial Unicode MS" w:hAnsi="Times New Roman" w:cs="Times New Roman"/>
      <w:sz w:val="24"/>
      <w:szCs w:val="20"/>
      <w:lang w:val="pt-BR" w:eastAsia="pt-BR"/>
    </w:rPr>
  </w:style>
  <w:style w:type="paragraph" w:styleId="Ttulo6">
    <w:name w:val="heading 6"/>
    <w:basedOn w:val="Normal"/>
    <w:next w:val="Normal"/>
    <w:link w:val="Ttulo6Char"/>
    <w:qFormat/>
    <w:rsid w:val="003A5313"/>
    <w:pPr>
      <w:keepNext/>
      <w:numPr>
        <w:ilvl w:val="5"/>
        <w:numId w:val="15"/>
      </w:numPr>
      <w:spacing w:after="0" w:line="240" w:lineRule="auto"/>
      <w:ind w:right="284"/>
      <w:jc w:val="center"/>
      <w:outlineLvl w:val="5"/>
    </w:pPr>
    <w:rPr>
      <w:rFonts w:ascii="Times New Roman" w:eastAsia="Batang" w:hAnsi="Times New Roman" w:cs="Times New Roman"/>
      <w:b/>
      <w:sz w:val="24"/>
      <w:szCs w:val="20"/>
      <w:lang w:val="pt-BR" w:eastAsia="pt-BR"/>
    </w:rPr>
  </w:style>
  <w:style w:type="paragraph" w:styleId="Ttulo7">
    <w:name w:val="heading 7"/>
    <w:basedOn w:val="Normal"/>
    <w:next w:val="Normal"/>
    <w:link w:val="Ttulo7Char"/>
    <w:qFormat/>
    <w:rsid w:val="003A5313"/>
    <w:pPr>
      <w:keepNext/>
      <w:numPr>
        <w:ilvl w:val="6"/>
        <w:numId w:val="15"/>
      </w:numPr>
      <w:spacing w:after="0" w:line="240" w:lineRule="auto"/>
      <w:ind w:right="284"/>
      <w:jc w:val="center"/>
      <w:outlineLvl w:val="6"/>
    </w:pPr>
    <w:rPr>
      <w:rFonts w:ascii="Times New Roman" w:eastAsia="Batang" w:hAnsi="Times New Roman" w:cs="Times New Roman"/>
      <w:b/>
      <w:caps/>
      <w:sz w:val="24"/>
      <w:szCs w:val="20"/>
      <w:lang w:val="pt-BR" w:eastAsia="pt-BR"/>
    </w:rPr>
  </w:style>
  <w:style w:type="paragraph" w:styleId="Ttulo8">
    <w:name w:val="heading 8"/>
    <w:basedOn w:val="Normal"/>
    <w:next w:val="Normal"/>
    <w:link w:val="Ttulo8Char"/>
    <w:qFormat/>
    <w:rsid w:val="003A5313"/>
    <w:pPr>
      <w:keepNext/>
      <w:numPr>
        <w:ilvl w:val="7"/>
        <w:numId w:val="15"/>
      </w:numPr>
      <w:spacing w:after="0" w:line="240" w:lineRule="auto"/>
      <w:ind w:right="284"/>
      <w:jc w:val="center"/>
      <w:outlineLvl w:val="7"/>
    </w:pPr>
    <w:rPr>
      <w:rFonts w:ascii="Times New Roman" w:eastAsia="Batang" w:hAnsi="Times New Roman" w:cs="Times New Roman"/>
      <w:b/>
      <w:bCs/>
      <w:caps/>
      <w:szCs w:val="20"/>
      <w:lang w:val="pt-BR" w:eastAsia="pt-BR"/>
    </w:rPr>
  </w:style>
  <w:style w:type="paragraph" w:styleId="Ttulo9">
    <w:name w:val="heading 9"/>
    <w:basedOn w:val="Normal"/>
    <w:next w:val="Normal"/>
    <w:link w:val="Ttulo9Char"/>
    <w:qFormat/>
    <w:rsid w:val="003A5313"/>
    <w:pPr>
      <w:numPr>
        <w:ilvl w:val="8"/>
        <w:numId w:val="15"/>
      </w:numPr>
      <w:spacing w:before="240" w:after="60" w:line="240" w:lineRule="auto"/>
      <w:ind w:right="284"/>
      <w:jc w:val="both"/>
      <w:outlineLvl w:val="8"/>
    </w:pPr>
    <w:rPr>
      <w:rFonts w:ascii="Arial" w:eastAsia="Batang" w:hAnsi="Arial" w:cs="Arial"/>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character" w:customStyle="1" w:styleId="Ttulo1Char">
    <w:name w:val="Título 1 Char"/>
    <w:basedOn w:val="Fontepargpadro"/>
    <w:link w:val="Ttulo1"/>
    <w:rsid w:val="003A5313"/>
    <w:rPr>
      <w:rFonts w:ascii="Arial" w:eastAsia="Batang" w:hAnsi="Arial" w:cs="Arial"/>
      <w:b/>
      <w:caps/>
      <w:kern w:val="28"/>
      <w:sz w:val="24"/>
      <w:szCs w:val="24"/>
      <w:lang w:val="pt-BR" w:eastAsia="pt-BR"/>
    </w:rPr>
  </w:style>
  <w:style w:type="character" w:customStyle="1" w:styleId="Ttulo2Char">
    <w:name w:val="Título 2 Char"/>
    <w:basedOn w:val="Fontepargpadro"/>
    <w:link w:val="Ttulo2"/>
    <w:rsid w:val="003A5313"/>
    <w:rPr>
      <w:rFonts w:ascii="Arial" w:eastAsia="Batang" w:hAnsi="Arial" w:cs="Arial"/>
      <w:b/>
      <w:kern w:val="28"/>
      <w:sz w:val="24"/>
      <w:szCs w:val="24"/>
      <w:lang w:val="pt-BR" w:eastAsia="pt-BR"/>
    </w:rPr>
  </w:style>
  <w:style w:type="character" w:customStyle="1" w:styleId="Ttulo3Char">
    <w:name w:val="Título 3 Char"/>
    <w:basedOn w:val="Fontepargpadro"/>
    <w:link w:val="Ttulo3"/>
    <w:rsid w:val="003A5313"/>
    <w:rPr>
      <w:rFonts w:ascii="Arial" w:eastAsia="Batang" w:hAnsi="Arial" w:cs="Arial"/>
      <w:b/>
      <w:lang w:val="pt-BR" w:eastAsia="pt-BR"/>
    </w:rPr>
  </w:style>
  <w:style w:type="character" w:customStyle="1" w:styleId="Ttulo4Char">
    <w:name w:val="Título 4 Char"/>
    <w:basedOn w:val="Fontepargpadro"/>
    <w:link w:val="Ttulo4"/>
    <w:rsid w:val="003A5313"/>
    <w:rPr>
      <w:rFonts w:ascii="Times New Roman" w:eastAsia="Batang" w:hAnsi="Times New Roman" w:cs="Times New Roman"/>
      <w:position w:val="-2"/>
      <w:sz w:val="24"/>
      <w:szCs w:val="20"/>
      <w:lang w:val="pt-BR" w:eastAsia="pt-BR"/>
    </w:rPr>
  </w:style>
  <w:style w:type="character" w:customStyle="1" w:styleId="Ttulo5Char">
    <w:name w:val="Título 5 Char"/>
    <w:basedOn w:val="Fontepargpadro"/>
    <w:link w:val="Ttulo5"/>
    <w:rsid w:val="003A5313"/>
    <w:rPr>
      <w:rFonts w:ascii="Times New Roman" w:eastAsia="Arial Unicode MS" w:hAnsi="Times New Roman" w:cs="Times New Roman"/>
      <w:sz w:val="24"/>
      <w:szCs w:val="20"/>
      <w:lang w:val="pt-BR" w:eastAsia="pt-BR"/>
    </w:rPr>
  </w:style>
  <w:style w:type="character" w:customStyle="1" w:styleId="Ttulo6Char">
    <w:name w:val="Título 6 Char"/>
    <w:basedOn w:val="Fontepargpadro"/>
    <w:link w:val="Ttulo6"/>
    <w:rsid w:val="003A5313"/>
    <w:rPr>
      <w:rFonts w:ascii="Times New Roman" w:eastAsia="Batang" w:hAnsi="Times New Roman" w:cs="Times New Roman"/>
      <w:b/>
      <w:sz w:val="24"/>
      <w:szCs w:val="20"/>
      <w:lang w:val="pt-BR" w:eastAsia="pt-BR"/>
    </w:rPr>
  </w:style>
  <w:style w:type="character" w:customStyle="1" w:styleId="Ttulo7Char">
    <w:name w:val="Título 7 Char"/>
    <w:basedOn w:val="Fontepargpadro"/>
    <w:link w:val="Ttulo7"/>
    <w:rsid w:val="003A5313"/>
    <w:rPr>
      <w:rFonts w:ascii="Times New Roman" w:eastAsia="Batang" w:hAnsi="Times New Roman" w:cs="Times New Roman"/>
      <w:b/>
      <w:caps/>
      <w:sz w:val="24"/>
      <w:szCs w:val="20"/>
      <w:lang w:val="pt-BR" w:eastAsia="pt-BR"/>
    </w:rPr>
  </w:style>
  <w:style w:type="character" w:customStyle="1" w:styleId="Ttulo8Char">
    <w:name w:val="Título 8 Char"/>
    <w:basedOn w:val="Fontepargpadro"/>
    <w:link w:val="Ttulo8"/>
    <w:rsid w:val="003A5313"/>
    <w:rPr>
      <w:rFonts w:ascii="Times New Roman" w:eastAsia="Batang" w:hAnsi="Times New Roman" w:cs="Times New Roman"/>
      <w:b/>
      <w:bCs/>
      <w:caps/>
      <w:szCs w:val="20"/>
      <w:lang w:val="pt-BR" w:eastAsia="pt-BR"/>
    </w:rPr>
  </w:style>
  <w:style w:type="character" w:customStyle="1" w:styleId="Ttulo9Char">
    <w:name w:val="Título 9 Char"/>
    <w:basedOn w:val="Fontepargpadro"/>
    <w:link w:val="Ttulo9"/>
    <w:rsid w:val="003A5313"/>
    <w:rPr>
      <w:rFonts w:ascii="Arial" w:eastAsia="Batang" w:hAnsi="Arial" w:cs="Arial"/>
      <w:lang w:val="pt-BR" w:eastAsia="pt-BR"/>
    </w:rPr>
  </w:style>
  <w:style w:type="paragraph" w:customStyle="1" w:styleId="Texto">
    <w:name w:val="Texto"/>
    <w:basedOn w:val="Normal"/>
    <w:link w:val="TextoChar"/>
    <w:qFormat/>
    <w:rsid w:val="003A5313"/>
    <w:pPr>
      <w:spacing w:after="0" w:line="360" w:lineRule="auto"/>
      <w:ind w:left="567" w:right="300" w:firstLine="426"/>
      <w:jc w:val="both"/>
    </w:pPr>
    <w:rPr>
      <w:rFonts w:ascii="Arial" w:eastAsia="Batang" w:hAnsi="Arial" w:cs="Arial"/>
      <w:lang w:val="pt-BR" w:eastAsia="pt-BR"/>
    </w:rPr>
  </w:style>
  <w:style w:type="character" w:customStyle="1" w:styleId="TextoChar">
    <w:name w:val="Texto Char"/>
    <w:basedOn w:val="Ttulo3Char"/>
    <w:link w:val="Texto"/>
    <w:rsid w:val="003A5313"/>
    <w:rPr>
      <w:rFonts w:ascii="Arial" w:eastAsia="Batang" w:hAnsi="Arial" w:cs="Arial"/>
      <w:b w:val="0"/>
      <w:lang w:val="pt-BR" w:eastAsia="pt-BR"/>
    </w:rPr>
  </w:style>
  <w:style w:type="paragraph" w:styleId="Legenda">
    <w:name w:val="caption"/>
    <w:basedOn w:val="PargrafodaLista"/>
    <w:next w:val="Normal"/>
    <w:unhideWhenUsed/>
    <w:qFormat/>
    <w:rsid w:val="003A5313"/>
    <w:pPr>
      <w:spacing w:after="0" w:line="360" w:lineRule="auto"/>
      <w:ind w:left="567" w:right="300"/>
      <w:contextualSpacing w:val="0"/>
      <w:jc w:val="center"/>
    </w:pPr>
    <w:rPr>
      <w:rFonts w:ascii="Arial" w:eastAsia="Times New Roman" w:hAnsi="Arial" w:cs="Arial"/>
      <w:b/>
      <w:sz w:val="20"/>
      <w:lang w:val="pt-BR" w:eastAsia="pt-BR"/>
    </w:rPr>
  </w:style>
  <w:style w:type="paragraph" w:styleId="NormalWeb">
    <w:name w:val="Normal (Web)"/>
    <w:basedOn w:val="Normal"/>
    <w:uiPriority w:val="99"/>
    <w:semiHidden/>
    <w:unhideWhenUsed/>
    <w:rsid w:val="00711A64"/>
    <w:pPr>
      <w:spacing w:before="100" w:beforeAutospacing="1" w:after="100" w:afterAutospacing="1" w:line="240" w:lineRule="auto"/>
    </w:pPr>
    <w:rPr>
      <w:rFonts w:ascii="Times New Roman" w:eastAsia="Times New Roman" w:hAnsi="Times New Roman" w:cs="Times New Roman"/>
      <w:sz w:val="24"/>
      <w:szCs w:val="24"/>
      <w:lang w:val="pt-BR" w:eastAsia="pt-BR"/>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191958525">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76916583">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620772604">
      <w:bodyDiv w:val="1"/>
      <w:marLeft w:val="0"/>
      <w:marRight w:val="0"/>
      <w:marTop w:val="0"/>
      <w:marBottom w:val="0"/>
      <w:divBdr>
        <w:top w:val="none" w:sz="0" w:space="0" w:color="auto"/>
        <w:left w:val="none" w:sz="0" w:space="0" w:color="auto"/>
        <w:bottom w:val="none" w:sz="0" w:space="0" w:color="auto"/>
        <w:right w:val="none" w:sz="0" w:space="0" w:color="auto"/>
      </w:divBdr>
    </w:div>
    <w:div w:id="644243487">
      <w:bodyDiv w:val="1"/>
      <w:marLeft w:val="0"/>
      <w:marRight w:val="0"/>
      <w:marTop w:val="0"/>
      <w:marBottom w:val="0"/>
      <w:divBdr>
        <w:top w:val="none" w:sz="0" w:space="0" w:color="auto"/>
        <w:left w:val="none" w:sz="0" w:space="0" w:color="auto"/>
        <w:bottom w:val="none" w:sz="0" w:space="0" w:color="auto"/>
        <w:right w:val="none" w:sz="0" w:space="0" w:color="auto"/>
      </w:divBdr>
    </w:div>
    <w:div w:id="842429206">
      <w:bodyDiv w:val="1"/>
      <w:marLeft w:val="0"/>
      <w:marRight w:val="0"/>
      <w:marTop w:val="0"/>
      <w:marBottom w:val="0"/>
      <w:divBdr>
        <w:top w:val="none" w:sz="0" w:space="0" w:color="auto"/>
        <w:left w:val="none" w:sz="0" w:space="0" w:color="auto"/>
        <w:bottom w:val="none" w:sz="0" w:space="0" w:color="auto"/>
        <w:right w:val="none" w:sz="0" w:space="0" w:color="auto"/>
      </w:divBdr>
      <w:divsChild>
        <w:div w:id="20862680">
          <w:marLeft w:val="1267"/>
          <w:marRight w:val="0"/>
          <w:marTop w:val="0"/>
          <w:marBottom w:val="0"/>
          <w:divBdr>
            <w:top w:val="none" w:sz="0" w:space="0" w:color="auto"/>
            <w:left w:val="none" w:sz="0" w:space="0" w:color="auto"/>
            <w:bottom w:val="none" w:sz="0" w:space="0" w:color="auto"/>
            <w:right w:val="none" w:sz="0" w:space="0" w:color="auto"/>
          </w:divBdr>
        </w:div>
        <w:div w:id="646205422">
          <w:marLeft w:val="1267"/>
          <w:marRight w:val="0"/>
          <w:marTop w:val="0"/>
          <w:marBottom w:val="0"/>
          <w:divBdr>
            <w:top w:val="none" w:sz="0" w:space="0" w:color="auto"/>
            <w:left w:val="none" w:sz="0" w:space="0" w:color="auto"/>
            <w:bottom w:val="none" w:sz="0" w:space="0" w:color="auto"/>
            <w:right w:val="none" w:sz="0" w:space="0" w:color="auto"/>
          </w:divBdr>
        </w:div>
        <w:div w:id="434595170">
          <w:marLeft w:val="1267"/>
          <w:marRight w:val="0"/>
          <w:marTop w:val="0"/>
          <w:marBottom w:val="0"/>
          <w:divBdr>
            <w:top w:val="none" w:sz="0" w:space="0" w:color="auto"/>
            <w:left w:val="none" w:sz="0" w:space="0" w:color="auto"/>
            <w:bottom w:val="none" w:sz="0" w:space="0" w:color="auto"/>
            <w:right w:val="none" w:sz="0" w:space="0" w:color="auto"/>
          </w:divBdr>
        </w:div>
        <w:div w:id="1630747740">
          <w:marLeft w:val="1267"/>
          <w:marRight w:val="0"/>
          <w:marTop w:val="0"/>
          <w:marBottom w:val="0"/>
          <w:divBdr>
            <w:top w:val="none" w:sz="0" w:space="0" w:color="auto"/>
            <w:left w:val="none" w:sz="0" w:space="0" w:color="auto"/>
            <w:bottom w:val="none" w:sz="0" w:space="0" w:color="auto"/>
            <w:right w:val="none" w:sz="0" w:space="0" w:color="auto"/>
          </w:divBdr>
        </w:div>
        <w:div w:id="135874216">
          <w:marLeft w:val="1267"/>
          <w:marRight w:val="0"/>
          <w:marTop w:val="0"/>
          <w:marBottom w:val="0"/>
          <w:divBdr>
            <w:top w:val="none" w:sz="0" w:space="0" w:color="auto"/>
            <w:left w:val="none" w:sz="0" w:space="0" w:color="auto"/>
            <w:bottom w:val="none" w:sz="0" w:space="0" w:color="auto"/>
            <w:right w:val="none" w:sz="0" w:space="0" w:color="auto"/>
          </w:divBdr>
        </w:div>
      </w:divsChild>
    </w:div>
    <w:div w:id="913390236">
      <w:bodyDiv w:val="1"/>
      <w:marLeft w:val="0"/>
      <w:marRight w:val="0"/>
      <w:marTop w:val="0"/>
      <w:marBottom w:val="0"/>
      <w:divBdr>
        <w:top w:val="none" w:sz="0" w:space="0" w:color="auto"/>
        <w:left w:val="none" w:sz="0" w:space="0" w:color="auto"/>
        <w:bottom w:val="none" w:sz="0" w:space="0" w:color="auto"/>
        <w:right w:val="none" w:sz="0" w:space="0" w:color="auto"/>
      </w:divBdr>
    </w:div>
    <w:div w:id="1048257630">
      <w:bodyDiv w:val="1"/>
      <w:marLeft w:val="0"/>
      <w:marRight w:val="0"/>
      <w:marTop w:val="0"/>
      <w:marBottom w:val="0"/>
      <w:divBdr>
        <w:top w:val="none" w:sz="0" w:space="0" w:color="auto"/>
        <w:left w:val="none" w:sz="0" w:space="0" w:color="auto"/>
        <w:bottom w:val="none" w:sz="0" w:space="0" w:color="auto"/>
        <w:right w:val="none" w:sz="0" w:space="0" w:color="auto"/>
      </w:divBdr>
    </w:div>
    <w:div w:id="1115446001">
      <w:bodyDiv w:val="1"/>
      <w:marLeft w:val="0"/>
      <w:marRight w:val="0"/>
      <w:marTop w:val="0"/>
      <w:marBottom w:val="0"/>
      <w:divBdr>
        <w:top w:val="none" w:sz="0" w:space="0" w:color="auto"/>
        <w:left w:val="none" w:sz="0" w:space="0" w:color="auto"/>
        <w:bottom w:val="none" w:sz="0" w:space="0" w:color="auto"/>
        <w:right w:val="none" w:sz="0" w:space="0" w:color="auto"/>
      </w:divBdr>
    </w:div>
    <w:div w:id="1481070456">
      <w:bodyDiv w:val="1"/>
      <w:marLeft w:val="0"/>
      <w:marRight w:val="0"/>
      <w:marTop w:val="0"/>
      <w:marBottom w:val="0"/>
      <w:divBdr>
        <w:top w:val="none" w:sz="0" w:space="0" w:color="auto"/>
        <w:left w:val="none" w:sz="0" w:space="0" w:color="auto"/>
        <w:bottom w:val="none" w:sz="0" w:space="0" w:color="auto"/>
        <w:right w:val="none" w:sz="0" w:space="0" w:color="auto"/>
      </w:divBdr>
    </w:div>
    <w:div w:id="1543245790">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5.emf"/><Relationship Id="rId39" Type="http://schemas.openxmlformats.org/officeDocument/2006/relationships/image" Target="media/image27.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2.png"/><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1.xml"/><Relationship Id="rId25" Type="http://schemas.openxmlformats.org/officeDocument/2006/relationships/chart" Target="charts/chart4.xml"/><Relationship Id="rId33" Type="http://schemas.openxmlformats.org/officeDocument/2006/relationships/image" Target="media/image21.png"/><Relationship Id="rId38"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2.png"/><Relationship Id="rId29" Type="http://schemas.openxmlformats.org/officeDocument/2006/relationships/image" Target="media/image17.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3.xml"/><Relationship Id="rId32" Type="http://schemas.openxmlformats.org/officeDocument/2006/relationships/image" Target="media/image20.png"/><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chart" Target="charts/chart2.xml"/><Relationship Id="rId28" Type="http://schemas.openxmlformats.org/officeDocument/2006/relationships/image" Target="media/image16.png"/><Relationship Id="rId36" Type="http://schemas.openxmlformats.org/officeDocument/2006/relationships/image" Target="media/image24.jpeg"/><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19.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emf"/><Relationship Id="rId27" Type="http://schemas.openxmlformats.org/officeDocument/2006/relationships/package" Target="embeddings/Planilha_do_Microsoft_Office_Excel1.xlsx"/><Relationship Id="rId30" Type="http://schemas.openxmlformats.org/officeDocument/2006/relationships/image" Target="media/image18.png"/><Relationship Id="rId35" Type="http://schemas.openxmlformats.org/officeDocument/2006/relationships/image" Target="media/image23.jpeg"/><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9.png"/></Relationships>
</file>

<file path=word/_rels/header2.xml.rels><?xml version="1.0" encoding="UTF-8" standalone="yes"?>
<Relationships xmlns="http://schemas.openxmlformats.org/package/2006/relationships"><Relationship Id="rId1" Type="http://schemas.openxmlformats.org/officeDocument/2006/relationships/image" Target="media/image29.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bm98\Desktop\PACI-3Z-%20ESTUDOS-%20COMPLETO\QUADRO-RESUMO-HAZOPS-PACI-3ZONA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m98\Desktop\PACI-3Z-%20ESTUDOS-%20COMPLETO\COMPILADO-PACI-3ZONAS-RESULTADO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m98\Desktop\PACI-3Z-%20ESTUDOS-%20COMPLETO\COMPILADO-PACI-3ZONAS-RESULTADO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m98\Desktop\PACI-3Z-%20ESTUDOS-%20COMPLETO\COMPILADO-PACI-3ZONAS-RESULTAD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pt-BR"/>
  <c:chart>
    <c:autoTitleDeleted val="1"/>
    <c:plotArea>
      <c:layout/>
      <c:lineChart>
        <c:grouping val="stacked"/>
        <c:ser>
          <c:idx val="0"/>
          <c:order val="0"/>
          <c:tx>
            <c:strRef>
              <c:f>'RESUMO HH'!$C$15</c:f>
              <c:strCache>
                <c:ptCount val="1"/>
                <c:pt idx="0">
                  <c:v>CRITICIDADE 3 INSTALAÇÃO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'RESUMO HH'!$B$16:$B$19</c:f>
              <c:strCache>
                <c:ptCount val="4"/>
                <c:pt idx="0">
                  <c:v>CASO BASE</c:v>
                </c:pt>
                <c:pt idx="1">
                  <c:v>ALTERNATIVA A</c:v>
                </c:pt>
                <c:pt idx="2">
                  <c:v>ALTERNATIVA B</c:v>
                </c:pt>
                <c:pt idx="3">
                  <c:v>ALTERNATIVA E</c:v>
                </c:pt>
              </c:strCache>
            </c:strRef>
          </c:cat>
          <c:val>
            <c:numRef>
              <c:f>'RESUMO HH'!$C$16:$C$19</c:f>
              <c:numCache>
                <c:formatCode>General</c:formatCode>
                <c:ptCount val="4"/>
                <c:pt idx="0">
                  <c:v>5</c:v>
                </c:pt>
                <c:pt idx="1">
                  <c:v>6</c:v>
                </c:pt>
                <c:pt idx="2">
                  <c:v>9</c:v>
                </c:pt>
                <c:pt idx="3">
                  <c:v>10</c:v>
                </c:pt>
              </c:numCache>
            </c:numRef>
          </c:val>
          <c:extLst xmlns:c16r2="http://schemas.microsoft.com/office/drawing/2015/06/chart">
            <c:ext xmlns:c16="http://schemas.microsoft.com/office/drawing/2014/chart" uri="{C3380CC4-5D6E-409C-BE32-E72D297353CC}">
              <c16:uniqueId val="{00000000-5EC9-426D-AC31-C163EB6EF104}"/>
            </c:ext>
          </c:extLst>
        </c:ser>
        <c:ser>
          <c:idx val="1"/>
          <c:order val="1"/>
          <c:tx>
            <c:strRef>
              <c:f>'RESUMO HH'!$D$15</c:f>
              <c:strCache>
                <c:ptCount val="1"/>
                <c:pt idx="0">
                  <c:v>CRITICIDADE 3 H.W.</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'RESUMO HH'!$B$16:$B$19</c:f>
              <c:strCache>
                <c:ptCount val="4"/>
                <c:pt idx="0">
                  <c:v>CASO BASE</c:v>
                </c:pt>
                <c:pt idx="1">
                  <c:v>ALTERNATIVA A</c:v>
                </c:pt>
                <c:pt idx="2">
                  <c:v>ALTERNATIVA B</c:v>
                </c:pt>
                <c:pt idx="3">
                  <c:v>ALTERNATIVA E</c:v>
                </c:pt>
              </c:strCache>
            </c:strRef>
          </c:cat>
          <c:val>
            <c:numRef>
              <c:f>'RESUMO HH'!$D$16:$D$19</c:f>
              <c:numCache>
                <c:formatCode>General</c:formatCode>
                <c:ptCount val="4"/>
                <c:pt idx="0">
                  <c:v>4</c:v>
                </c:pt>
                <c:pt idx="1">
                  <c:v>7</c:v>
                </c:pt>
                <c:pt idx="2">
                  <c:v>7</c:v>
                </c:pt>
                <c:pt idx="3">
                  <c:v>6</c:v>
                </c:pt>
              </c:numCache>
            </c:numRef>
          </c:val>
          <c:extLst xmlns:c16r2="http://schemas.microsoft.com/office/drawing/2015/06/chart">
            <c:ext xmlns:c16="http://schemas.microsoft.com/office/drawing/2014/chart" uri="{C3380CC4-5D6E-409C-BE32-E72D297353CC}">
              <c16:uniqueId val="{00000001-5EC9-426D-AC31-C163EB6EF104}"/>
            </c:ext>
          </c:extLst>
        </c:ser>
        <c:dLbls/>
        <c:marker val="1"/>
        <c:axId val="87448576"/>
        <c:axId val="87466752"/>
      </c:lineChart>
      <c:catAx>
        <c:axId val="8744857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7466752"/>
        <c:crosses val="autoZero"/>
        <c:auto val="1"/>
        <c:lblAlgn val="ctr"/>
        <c:lblOffset val="100"/>
      </c:catAx>
      <c:valAx>
        <c:axId val="8746675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744857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pt-BR"/>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pt-BR" sz="1400" b="1"/>
              <a:t>PROBABILIDADE DE FALHA DO POÇO x PROBABILIDADE</a:t>
            </a:r>
            <a:r>
              <a:rPr lang="pt-BR" sz="1400" b="1" baseline="0"/>
              <a:t> DE PERDA</a:t>
            </a:r>
            <a:endParaRPr lang="pt-BR" sz="1400" b="1"/>
          </a:p>
        </c:rich>
      </c:tx>
      <c:layout>
        <c:manualLayout>
          <c:xMode val="edge"/>
          <c:yMode val="edge"/>
          <c:x val="0.16518059279570022"/>
          <c:y val="1.5801989275294498E-2"/>
        </c:manualLayout>
      </c:layout>
      <c:spPr>
        <a:noFill/>
        <a:ln>
          <a:noFill/>
        </a:ln>
        <a:effectLst/>
      </c:spPr>
    </c:title>
    <c:plotArea>
      <c:layout/>
      <c:lineChart>
        <c:grouping val="standard"/>
        <c:ser>
          <c:idx val="0"/>
          <c:order val="0"/>
          <c:tx>
            <c:strRef>
              <c:f>'CASO BASE'!$B$1:$B$2</c:f>
              <c:strCache>
                <c:ptCount val="2"/>
                <c:pt idx="0">
                  <c:v>CASO BASE</c:v>
                </c:pt>
                <c:pt idx="1">
                  <c:v>P 10</c:v>
                </c:pt>
              </c:strCache>
            </c:strRef>
          </c:tx>
          <c:spPr>
            <a:ln w="28575" cap="rnd">
              <a:solidFill>
                <a:schemeClr val="accent1"/>
              </a:solidFill>
              <a:round/>
            </a:ln>
            <a:effectLst/>
          </c:spPr>
          <c:marker>
            <c:symbol val="none"/>
          </c:marker>
          <c:cat>
            <c:numRef>
              <c:f>'CASO BASE'!$A$3:$A$8</c:f>
              <c:numCache>
                <c:formatCode>General</c:formatCode>
                <c:ptCount val="6"/>
                <c:pt idx="1">
                  <c:v>0</c:v>
                </c:pt>
                <c:pt idx="2">
                  <c:v>0.25</c:v>
                </c:pt>
                <c:pt idx="3">
                  <c:v>0.5</c:v>
                </c:pt>
                <c:pt idx="4">
                  <c:v>0.75000000000000011</c:v>
                </c:pt>
                <c:pt idx="5">
                  <c:v>1</c:v>
                </c:pt>
              </c:numCache>
            </c:numRef>
          </c:cat>
          <c:val>
            <c:numRef>
              <c:f>'CASO BASE'!$B$3:$B$8</c:f>
              <c:numCache>
                <c:formatCode>General</c:formatCode>
                <c:ptCount val="6"/>
                <c:pt idx="1">
                  <c:v>0.24190000000000003</c:v>
                </c:pt>
                <c:pt idx="2">
                  <c:v>0.3343000000000001</c:v>
                </c:pt>
                <c:pt idx="3">
                  <c:v>0.3973000000000001</c:v>
                </c:pt>
                <c:pt idx="4">
                  <c:v>0.4466</c:v>
                </c:pt>
                <c:pt idx="5">
                  <c:v>0.49170000000000008</c:v>
                </c:pt>
              </c:numCache>
            </c:numRef>
          </c:val>
          <c:extLst xmlns:c16r2="http://schemas.microsoft.com/office/drawing/2015/06/chart">
            <c:ext xmlns:c16="http://schemas.microsoft.com/office/drawing/2014/chart" uri="{C3380CC4-5D6E-409C-BE32-E72D297353CC}">
              <c16:uniqueId val="{00000000-08B7-4DB0-B588-1B2657EFF35F}"/>
            </c:ext>
          </c:extLst>
        </c:ser>
        <c:ser>
          <c:idx val="1"/>
          <c:order val="1"/>
          <c:tx>
            <c:strRef>
              <c:f>'CASO BASE'!$C$1:$C$2</c:f>
              <c:strCache>
                <c:ptCount val="2"/>
                <c:pt idx="0">
                  <c:v>CASO BASE</c:v>
                </c:pt>
                <c:pt idx="1">
                  <c:v>P 50</c:v>
                </c:pt>
              </c:strCache>
            </c:strRef>
          </c:tx>
          <c:spPr>
            <a:ln w="28575" cap="rnd">
              <a:solidFill>
                <a:schemeClr val="accent2"/>
              </a:solidFill>
              <a:round/>
            </a:ln>
            <a:effectLst/>
          </c:spPr>
          <c:marker>
            <c:symbol val="none"/>
          </c:marker>
          <c:cat>
            <c:numRef>
              <c:f>'CASO BASE'!$A$3:$A$8</c:f>
              <c:numCache>
                <c:formatCode>General</c:formatCode>
                <c:ptCount val="6"/>
                <c:pt idx="1">
                  <c:v>0</c:v>
                </c:pt>
                <c:pt idx="2">
                  <c:v>0.25</c:v>
                </c:pt>
                <c:pt idx="3">
                  <c:v>0.5</c:v>
                </c:pt>
                <c:pt idx="4">
                  <c:v>0.75000000000000011</c:v>
                </c:pt>
                <c:pt idx="5">
                  <c:v>1</c:v>
                </c:pt>
              </c:numCache>
            </c:numRef>
          </c:cat>
          <c:val>
            <c:numRef>
              <c:f>'CASO BASE'!$C$3:$C$8</c:f>
              <c:numCache>
                <c:formatCode>General</c:formatCode>
                <c:ptCount val="6"/>
                <c:pt idx="1">
                  <c:v>0.45500000000000002</c:v>
                </c:pt>
                <c:pt idx="2">
                  <c:v>0.53290000000000004</c:v>
                </c:pt>
                <c:pt idx="3">
                  <c:v>0.62560000000000016</c:v>
                </c:pt>
                <c:pt idx="4">
                  <c:v>0.72510000000000008</c:v>
                </c:pt>
                <c:pt idx="5">
                  <c:v>0.80580000000000007</c:v>
                </c:pt>
              </c:numCache>
            </c:numRef>
          </c:val>
          <c:extLst xmlns:c16r2="http://schemas.microsoft.com/office/drawing/2015/06/chart">
            <c:ext xmlns:c16="http://schemas.microsoft.com/office/drawing/2014/chart" uri="{C3380CC4-5D6E-409C-BE32-E72D297353CC}">
              <c16:uniqueId val="{00000001-08B7-4DB0-B588-1B2657EFF35F}"/>
            </c:ext>
          </c:extLst>
        </c:ser>
        <c:ser>
          <c:idx val="2"/>
          <c:order val="2"/>
          <c:tx>
            <c:strRef>
              <c:f>'CASO BASE'!$D$1:$D$2</c:f>
              <c:strCache>
                <c:ptCount val="2"/>
                <c:pt idx="0">
                  <c:v>CASO BASE</c:v>
                </c:pt>
                <c:pt idx="1">
                  <c:v>P 90</c:v>
                </c:pt>
              </c:strCache>
            </c:strRef>
          </c:tx>
          <c:spPr>
            <a:ln w="28575" cap="rnd">
              <a:solidFill>
                <a:schemeClr val="accent3"/>
              </a:solidFill>
              <a:round/>
            </a:ln>
            <a:effectLst/>
          </c:spPr>
          <c:marker>
            <c:symbol val="none"/>
          </c:marker>
          <c:cat>
            <c:numRef>
              <c:f>'CASO BASE'!$A$3:$A$8</c:f>
              <c:numCache>
                <c:formatCode>General</c:formatCode>
                <c:ptCount val="6"/>
                <c:pt idx="1">
                  <c:v>0</c:v>
                </c:pt>
                <c:pt idx="2">
                  <c:v>0.25</c:v>
                </c:pt>
                <c:pt idx="3">
                  <c:v>0.5</c:v>
                </c:pt>
                <c:pt idx="4">
                  <c:v>0.75000000000000011</c:v>
                </c:pt>
                <c:pt idx="5">
                  <c:v>1</c:v>
                </c:pt>
              </c:numCache>
            </c:numRef>
          </c:cat>
          <c:val>
            <c:numRef>
              <c:f>'CASO BASE'!$D$3:$D$8</c:f>
              <c:numCache>
                <c:formatCode>General</c:formatCode>
                <c:ptCount val="6"/>
                <c:pt idx="1">
                  <c:v>0.87380000000000013</c:v>
                </c:pt>
                <c:pt idx="2">
                  <c:v>0.89070000000000005</c:v>
                </c:pt>
                <c:pt idx="3">
                  <c:v>0.90920000000000001</c:v>
                </c:pt>
                <c:pt idx="4">
                  <c:v>0.93280000000000007</c:v>
                </c:pt>
                <c:pt idx="5">
                  <c:v>0.97650000000000003</c:v>
                </c:pt>
              </c:numCache>
            </c:numRef>
          </c:val>
          <c:extLst xmlns:c16r2="http://schemas.microsoft.com/office/drawing/2015/06/chart">
            <c:ext xmlns:c16="http://schemas.microsoft.com/office/drawing/2014/chart" uri="{C3380CC4-5D6E-409C-BE32-E72D297353CC}">
              <c16:uniqueId val="{00000002-08B7-4DB0-B588-1B2657EFF35F}"/>
            </c:ext>
          </c:extLst>
        </c:ser>
        <c:dLbls/>
        <c:marker val="1"/>
        <c:axId val="87652992"/>
        <c:axId val="87662976"/>
      </c:lineChart>
      <c:catAx>
        <c:axId val="8765299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7662976"/>
        <c:crosses val="autoZero"/>
        <c:auto val="1"/>
        <c:lblAlgn val="ctr"/>
        <c:lblOffset val="100"/>
      </c:catAx>
      <c:valAx>
        <c:axId val="87662976"/>
        <c:scaling>
          <c:orientation val="minMax"/>
          <c:max val="1"/>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7652992"/>
        <c:crosses val="autoZero"/>
        <c:crossBetween val="midCat"/>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pt-BR"/>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pt-BR" sz="1050"/>
              <a:t>PROBABILIDADE DE FALHA DO POÇO X PROBABILIDADE DE PERDA </a:t>
            </a:r>
          </a:p>
        </c:rich>
      </c:tx>
      <c:spPr>
        <a:noFill/>
        <a:ln>
          <a:noFill/>
        </a:ln>
        <a:effectLst/>
      </c:spPr>
    </c:title>
    <c:plotArea>
      <c:layout/>
      <c:lineChart>
        <c:grouping val="standard"/>
        <c:ser>
          <c:idx val="0"/>
          <c:order val="0"/>
          <c:tx>
            <c:strRef>
              <c:f>COMPARAÇÃO!$B$22:$B$23</c:f>
              <c:strCache>
                <c:ptCount val="2"/>
                <c:pt idx="0">
                  <c:v>P50</c:v>
                </c:pt>
                <c:pt idx="1">
                  <c:v>CASO BASE</c:v>
                </c:pt>
              </c:strCache>
            </c:strRef>
          </c:tx>
          <c:spPr>
            <a:ln w="28575" cap="rnd">
              <a:solidFill>
                <a:schemeClr val="accent1"/>
              </a:solidFill>
              <a:round/>
            </a:ln>
            <a:effectLst/>
          </c:spPr>
          <c:marker>
            <c:symbol val="none"/>
          </c:marker>
          <c:cat>
            <c:numRef>
              <c:f>COMPARAÇÃO!$A$24:$A$28</c:f>
              <c:numCache>
                <c:formatCode>General</c:formatCode>
                <c:ptCount val="5"/>
                <c:pt idx="0">
                  <c:v>0</c:v>
                </c:pt>
                <c:pt idx="1">
                  <c:v>0.25</c:v>
                </c:pt>
                <c:pt idx="2">
                  <c:v>0.5</c:v>
                </c:pt>
                <c:pt idx="3">
                  <c:v>0.75000000000000011</c:v>
                </c:pt>
                <c:pt idx="4">
                  <c:v>1</c:v>
                </c:pt>
              </c:numCache>
            </c:numRef>
          </c:cat>
          <c:val>
            <c:numRef>
              <c:f>COMPARAÇÃO!$B$24:$B$28</c:f>
              <c:numCache>
                <c:formatCode>General</c:formatCode>
                <c:ptCount val="5"/>
                <c:pt idx="0">
                  <c:v>0.45500000000000002</c:v>
                </c:pt>
                <c:pt idx="1">
                  <c:v>0.53290000000000004</c:v>
                </c:pt>
                <c:pt idx="2">
                  <c:v>0.62560000000000016</c:v>
                </c:pt>
                <c:pt idx="3">
                  <c:v>0.72510000000000008</c:v>
                </c:pt>
                <c:pt idx="4">
                  <c:v>0.80580000000000007</c:v>
                </c:pt>
              </c:numCache>
            </c:numRef>
          </c:val>
          <c:extLst xmlns:c16r2="http://schemas.microsoft.com/office/drawing/2015/06/chart">
            <c:ext xmlns:c16="http://schemas.microsoft.com/office/drawing/2014/chart" uri="{C3380CC4-5D6E-409C-BE32-E72D297353CC}">
              <c16:uniqueId val="{00000000-9A60-4AB8-937D-52E1CFE85A30}"/>
            </c:ext>
          </c:extLst>
        </c:ser>
        <c:ser>
          <c:idx val="1"/>
          <c:order val="1"/>
          <c:tx>
            <c:strRef>
              <c:f>COMPARAÇÃO!$C$22:$C$23</c:f>
              <c:strCache>
                <c:ptCount val="2"/>
                <c:pt idx="0">
                  <c:v>P50</c:v>
                </c:pt>
                <c:pt idx="1">
                  <c:v>ALTERNATIVA A </c:v>
                </c:pt>
              </c:strCache>
            </c:strRef>
          </c:tx>
          <c:spPr>
            <a:ln w="28575" cap="rnd">
              <a:solidFill>
                <a:schemeClr val="accent2"/>
              </a:solidFill>
              <a:round/>
            </a:ln>
            <a:effectLst/>
          </c:spPr>
          <c:marker>
            <c:symbol val="none"/>
          </c:marker>
          <c:cat>
            <c:numRef>
              <c:f>COMPARAÇÃO!$A$24:$A$28</c:f>
              <c:numCache>
                <c:formatCode>General</c:formatCode>
                <c:ptCount val="5"/>
                <c:pt idx="0">
                  <c:v>0</c:v>
                </c:pt>
                <c:pt idx="1">
                  <c:v>0.25</c:v>
                </c:pt>
                <c:pt idx="2">
                  <c:v>0.5</c:v>
                </c:pt>
                <c:pt idx="3">
                  <c:v>0.75000000000000011</c:v>
                </c:pt>
                <c:pt idx="4">
                  <c:v>1</c:v>
                </c:pt>
              </c:numCache>
            </c:numRef>
          </c:cat>
          <c:val>
            <c:numRef>
              <c:f>COMPARAÇÃO!$C$24:$C$28</c:f>
              <c:numCache>
                <c:formatCode>General</c:formatCode>
                <c:ptCount val="5"/>
                <c:pt idx="0">
                  <c:v>0.89100000000000001</c:v>
                </c:pt>
                <c:pt idx="1">
                  <c:v>0.89219999999999999</c:v>
                </c:pt>
                <c:pt idx="2">
                  <c:v>0.89270000000000005</c:v>
                </c:pt>
                <c:pt idx="3">
                  <c:v>0.89229999999999998</c:v>
                </c:pt>
                <c:pt idx="4">
                  <c:v>0.89280000000000004</c:v>
                </c:pt>
              </c:numCache>
            </c:numRef>
          </c:val>
          <c:extLst xmlns:c16r2="http://schemas.microsoft.com/office/drawing/2015/06/chart">
            <c:ext xmlns:c16="http://schemas.microsoft.com/office/drawing/2014/chart" uri="{C3380CC4-5D6E-409C-BE32-E72D297353CC}">
              <c16:uniqueId val="{00000001-9A60-4AB8-937D-52E1CFE85A30}"/>
            </c:ext>
          </c:extLst>
        </c:ser>
        <c:ser>
          <c:idx val="2"/>
          <c:order val="2"/>
          <c:tx>
            <c:strRef>
              <c:f>COMPARAÇÃO!$D$22:$D$23</c:f>
              <c:strCache>
                <c:ptCount val="2"/>
                <c:pt idx="0">
                  <c:v>P50</c:v>
                </c:pt>
                <c:pt idx="1">
                  <c:v>ALTERNATIVA B</c:v>
                </c:pt>
              </c:strCache>
            </c:strRef>
          </c:tx>
          <c:spPr>
            <a:ln w="28575" cap="rnd">
              <a:solidFill>
                <a:schemeClr val="accent3"/>
              </a:solidFill>
              <a:round/>
            </a:ln>
            <a:effectLst/>
          </c:spPr>
          <c:marker>
            <c:symbol val="none"/>
          </c:marker>
          <c:cat>
            <c:numRef>
              <c:f>COMPARAÇÃO!$A$24:$A$28</c:f>
              <c:numCache>
                <c:formatCode>General</c:formatCode>
                <c:ptCount val="5"/>
                <c:pt idx="0">
                  <c:v>0</c:v>
                </c:pt>
                <c:pt idx="1">
                  <c:v>0.25</c:v>
                </c:pt>
                <c:pt idx="2">
                  <c:v>0.5</c:v>
                </c:pt>
                <c:pt idx="3">
                  <c:v>0.75000000000000011</c:v>
                </c:pt>
                <c:pt idx="4">
                  <c:v>1</c:v>
                </c:pt>
              </c:numCache>
            </c:numRef>
          </c:cat>
          <c:val>
            <c:numRef>
              <c:f>COMPARAÇÃO!$D$24:$D$28</c:f>
              <c:numCache>
                <c:formatCode>General</c:formatCode>
                <c:ptCount val="5"/>
                <c:pt idx="0">
                  <c:v>0.91900000000000004</c:v>
                </c:pt>
                <c:pt idx="1">
                  <c:v>0.91970000000000007</c:v>
                </c:pt>
                <c:pt idx="2">
                  <c:v>0.91959999999999997</c:v>
                </c:pt>
                <c:pt idx="3">
                  <c:v>0.91959999999999997</c:v>
                </c:pt>
                <c:pt idx="4">
                  <c:v>0.92</c:v>
                </c:pt>
              </c:numCache>
            </c:numRef>
          </c:val>
          <c:extLst xmlns:c16r2="http://schemas.microsoft.com/office/drawing/2015/06/chart">
            <c:ext xmlns:c16="http://schemas.microsoft.com/office/drawing/2014/chart" uri="{C3380CC4-5D6E-409C-BE32-E72D297353CC}">
              <c16:uniqueId val="{00000002-9A60-4AB8-937D-52E1CFE85A30}"/>
            </c:ext>
          </c:extLst>
        </c:ser>
        <c:ser>
          <c:idx val="3"/>
          <c:order val="3"/>
          <c:tx>
            <c:strRef>
              <c:f>COMPARAÇÃO!$E$22:$E$23</c:f>
              <c:strCache>
                <c:ptCount val="2"/>
                <c:pt idx="0">
                  <c:v>P50</c:v>
                </c:pt>
                <c:pt idx="1">
                  <c:v>ALTERNATIVA E</c:v>
                </c:pt>
              </c:strCache>
            </c:strRef>
          </c:tx>
          <c:spPr>
            <a:ln w="28575" cap="rnd">
              <a:solidFill>
                <a:schemeClr val="accent4"/>
              </a:solidFill>
              <a:round/>
            </a:ln>
            <a:effectLst/>
          </c:spPr>
          <c:marker>
            <c:symbol val="none"/>
          </c:marker>
          <c:cat>
            <c:numRef>
              <c:f>COMPARAÇÃO!$A$24:$A$28</c:f>
              <c:numCache>
                <c:formatCode>General</c:formatCode>
                <c:ptCount val="5"/>
                <c:pt idx="0">
                  <c:v>0</c:v>
                </c:pt>
                <c:pt idx="1">
                  <c:v>0.25</c:v>
                </c:pt>
                <c:pt idx="2">
                  <c:v>0.5</c:v>
                </c:pt>
                <c:pt idx="3">
                  <c:v>0.75000000000000011</c:v>
                </c:pt>
                <c:pt idx="4">
                  <c:v>1</c:v>
                </c:pt>
              </c:numCache>
            </c:numRef>
          </c:cat>
          <c:val>
            <c:numRef>
              <c:f>COMPARAÇÃO!$E$24:$E$28</c:f>
              <c:numCache>
                <c:formatCode>General</c:formatCode>
                <c:ptCount val="5"/>
                <c:pt idx="0">
                  <c:v>0.88100000000000001</c:v>
                </c:pt>
                <c:pt idx="1">
                  <c:v>0.88090000000000002</c:v>
                </c:pt>
                <c:pt idx="2">
                  <c:v>0.88049999999999984</c:v>
                </c:pt>
                <c:pt idx="3">
                  <c:v>0.88080000000000003</c:v>
                </c:pt>
                <c:pt idx="4">
                  <c:v>0.88109999999999999</c:v>
                </c:pt>
              </c:numCache>
            </c:numRef>
          </c:val>
          <c:extLst xmlns:c16r2="http://schemas.microsoft.com/office/drawing/2015/06/chart">
            <c:ext xmlns:c16="http://schemas.microsoft.com/office/drawing/2014/chart" uri="{C3380CC4-5D6E-409C-BE32-E72D297353CC}">
              <c16:uniqueId val="{00000003-9A60-4AB8-937D-52E1CFE85A30}"/>
            </c:ext>
          </c:extLst>
        </c:ser>
        <c:dLbls/>
        <c:marker val="1"/>
        <c:axId val="88772608"/>
        <c:axId val="88774144"/>
      </c:lineChart>
      <c:catAx>
        <c:axId val="887726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8774144"/>
        <c:crosses val="autoZero"/>
        <c:auto val="1"/>
        <c:lblAlgn val="ctr"/>
        <c:lblOffset val="100"/>
      </c:catAx>
      <c:valAx>
        <c:axId val="88774144"/>
        <c:scaling>
          <c:orientation val="minMax"/>
          <c:min val="0.84000000000000019"/>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8772608"/>
        <c:crosses val="autoZero"/>
        <c:crossBetween val="between"/>
      </c:valAx>
      <c:spPr>
        <a:noFill/>
        <a:ln>
          <a:noFill/>
        </a:ln>
        <a:effectLst/>
      </c:spPr>
    </c:plotArea>
    <c:legend>
      <c:legendPos val="b"/>
      <c:legendEntry>
        <c:idx val="0"/>
        <c:delete val="1"/>
      </c:legendEntry>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pt-BR"/>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pt-BR" sz="1050" b="0" i="0" baseline="0">
                <a:effectLst/>
              </a:rPr>
              <a:t>PROBABILIDADE DE FALHA DO POÇO X PROBABILIDADE DE PERDA </a:t>
            </a:r>
            <a:endParaRPr lang="pt-BR" sz="1050">
              <a:effectLst/>
            </a:endParaRPr>
          </a:p>
        </c:rich>
      </c:tx>
      <c:spPr>
        <a:noFill/>
        <a:ln>
          <a:noFill/>
        </a:ln>
        <a:effectLst/>
      </c:spPr>
    </c:title>
    <c:plotArea>
      <c:layout/>
      <c:lineChart>
        <c:grouping val="standard"/>
        <c:ser>
          <c:idx val="0"/>
          <c:order val="0"/>
          <c:tx>
            <c:strRef>
              <c:f>COMPARAÇÃO!$H$22:$H$23</c:f>
              <c:strCache>
                <c:ptCount val="2"/>
                <c:pt idx="0">
                  <c:v>P90</c:v>
                </c:pt>
                <c:pt idx="1">
                  <c:v>CASO BASE</c:v>
                </c:pt>
              </c:strCache>
            </c:strRef>
          </c:tx>
          <c:spPr>
            <a:ln w="28575" cap="rnd">
              <a:solidFill>
                <a:schemeClr val="accent1"/>
              </a:solidFill>
              <a:round/>
            </a:ln>
            <a:effectLst/>
          </c:spPr>
          <c:marker>
            <c:symbol val="none"/>
          </c:marker>
          <c:cat>
            <c:numRef>
              <c:f>COMPARAÇÃO!$G$24:$G$28</c:f>
              <c:numCache>
                <c:formatCode>General</c:formatCode>
                <c:ptCount val="5"/>
                <c:pt idx="0">
                  <c:v>0</c:v>
                </c:pt>
                <c:pt idx="1">
                  <c:v>0.25</c:v>
                </c:pt>
                <c:pt idx="2">
                  <c:v>0.5</c:v>
                </c:pt>
                <c:pt idx="3">
                  <c:v>0.75000000000000011</c:v>
                </c:pt>
                <c:pt idx="4">
                  <c:v>1</c:v>
                </c:pt>
              </c:numCache>
            </c:numRef>
          </c:cat>
          <c:val>
            <c:numRef>
              <c:f>COMPARAÇÃO!$H$24:$H$28</c:f>
              <c:numCache>
                <c:formatCode>General</c:formatCode>
                <c:ptCount val="5"/>
                <c:pt idx="0">
                  <c:v>0.87380000000000013</c:v>
                </c:pt>
                <c:pt idx="1">
                  <c:v>0.89070000000000005</c:v>
                </c:pt>
                <c:pt idx="2">
                  <c:v>0.90920000000000001</c:v>
                </c:pt>
                <c:pt idx="3">
                  <c:v>0.93280000000000007</c:v>
                </c:pt>
                <c:pt idx="4">
                  <c:v>0.97650000000000003</c:v>
                </c:pt>
              </c:numCache>
            </c:numRef>
          </c:val>
          <c:extLst xmlns:c16r2="http://schemas.microsoft.com/office/drawing/2015/06/chart">
            <c:ext xmlns:c16="http://schemas.microsoft.com/office/drawing/2014/chart" uri="{C3380CC4-5D6E-409C-BE32-E72D297353CC}">
              <c16:uniqueId val="{00000000-F49B-44B5-A4EB-8DEF45712BCC}"/>
            </c:ext>
          </c:extLst>
        </c:ser>
        <c:ser>
          <c:idx val="1"/>
          <c:order val="1"/>
          <c:tx>
            <c:strRef>
              <c:f>COMPARAÇÃO!$I$22:$I$23</c:f>
              <c:strCache>
                <c:ptCount val="2"/>
                <c:pt idx="0">
                  <c:v>P90</c:v>
                </c:pt>
                <c:pt idx="1">
                  <c:v>ALTERNATIVA A </c:v>
                </c:pt>
              </c:strCache>
            </c:strRef>
          </c:tx>
          <c:spPr>
            <a:ln w="28575" cap="rnd">
              <a:solidFill>
                <a:schemeClr val="accent2"/>
              </a:solidFill>
              <a:round/>
            </a:ln>
            <a:effectLst/>
          </c:spPr>
          <c:marker>
            <c:symbol val="none"/>
          </c:marker>
          <c:cat>
            <c:numRef>
              <c:f>COMPARAÇÃO!$G$24:$G$28</c:f>
              <c:numCache>
                <c:formatCode>General</c:formatCode>
                <c:ptCount val="5"/>
                <c:pt idx="0">
                  <c:v>0</c:v>
                </c:pt>
                <c:pt idx="1">
                  <c:v>0.25</c:v>
                </c:pt>
                <c:pt idx="2">
                  <c:v>0.5</c:v>
                </c:pt>
                <c:pt idx="3">
                  <c:v>0.75000000000000011</c:v>
                </c:pt>
                <c:pt idx="4">
                  <c:v>1</c:v>
                </c:pt>
              </c:numCache>
            </c:numRef>
          </c:cat>
          <c:val>
            <c:numRef>
              <c:f>COMPARAÇÃO!$I$24:$I$28</c:f>
              <c:numCache>
                <c:formatCode>General</c:formatCode>
                <c:ptCount val="5"/>
                <c:pt idx="0">
                  <c:v>0.98399999999999999</c:v>
                </c:pt>
                <c:pt idx="1">
                  <c:v>0.98349999999999993</c:v>
                </c:pt>
                <c:pt idx="2">
                  <c:v>0.98460000000000003</c:v>
                </c:pt>
                <c:pt idx="3">
                  <c:v>0.98380000000000001</c:v>
                </c:pt>
                <c:pt idx="4">
                  <c:v>0.9839</c:v>
                </c:pt>
              </c:numCache>
            </c:numRef>
          </c:val>
          <c:extLst xmlns:c16r2="http://schemas.microsoft.com/office/drawing/2015/06/chart">
            <c:ext xmlns:c16="http://schemas.microsoft.com/office/drawing/2014/chart" uri="{C3380CC4-5D6E-409C-BE32-E72D297353CC}">
              <c16:uniqueId val="{00000001-F49B-44B5-A4EB-8DEF45712BCC}"/>
            </c:ext>
          </c:extLst>
        </c:ser>
        <c:ser>
          <c:idx val="2"/>
          <c:order val="2"/>
          <c:tx>
            <c:strRef>
              <c:f>COMPARAÇÃO!$J$22:$J$23</c:f>
              <c:strCache>
                <c:ptCount val="2"/>
                <c:pt idx="0">
                  <c:v>P90</c:v>
                </c:pt>
                <c:pt idx="1">
                  <c:v>ALTERNATIVA B</c:v>
                </c:pt>
              </c:strCache>
            </c:strRef>
          </c:tx>
          <c:spPr>
            <a:ln w="28575" cap="rnd">
              <a:solidFill>
                <a:schemeClr val="accent3"/>
              </a:solidFill>
              <a:round/>
            </a:ln>
            <a:effectLst/>
          </c:spPr>
          <c:marker>
            <c:symbol val="none"/>
          </c:marker>
          <c:cat>
            <c:numRef>
              <c:f>COMPARAÇÃO!$G$24:$G$28</c:f>
              <c:numCache>
                <c:formatCode>General</c:formatCode>
                <c:ptCount val="5"/>
                <c:pt idx="0">
                  <c:v>0</c:v>
                </c:pt>
                <c:pt idx="1">
                  <c:v>0.25</c:v>
                </c:pt>
                <c:pt idx="2">
                  <c:v>0.5</c:v>
                </c:pt>
                <c:pt idx="3">
                  <c:v>0.75000000000000011</c:v>
                </c:pt>
                <c:pt idx="4">
                  <c:v>1</c:v>
                </c:pt>
              </c:numCache>
            </c:numRef>
          </c:cat>
          <c:val>
            <c:numRef>
              <c:f>COMPARAÇÃO!$J$24:$J$28</c:f>
              <c:numCache>
                <c:formatCode>General</c:formatCode>
                <c:ptCount val="5"/>
                <c:pt idx="0">
                  <c:v>0.98699999999999999</c:v>
                </c:pt>
                <c:pt idx="1">
                  <c:v>0.98699999999999999</c:v>
                </c:pt>
                <c:pt idx="2">
                  <c:v>0.98780000000000001</c:v>
                </c:pt>
                <c:pt idx="3">
                  <c:v>0.98799999999999999</c:v>
                </c:pt>
                <c:pt idx="4">
                  <c:v>0.98760000000000003</c:v>
                </c:pt>
              </c:numCache>
            </c:numRef>
          </c:val>
          <c:extLst xmlns:c16r2="http://schemas.microsoft.com/office/drawing/2015/06/chart">
            <c:ext xmlns:c16="http://schemas.microsoft.com/office/drawing/2014/chart" uri="{C3380CC4-5D6E-409C-BE32-E72D297353CC}">
              <c16:uniqueId val="{00000002-F49B-44B5-A4EB-8DEF45712BCC}"/>
            </c:ext>
          </c:extLst>
        </c:ser>
        <c:ser>
          <c:idx val="3"/>
          <c:order val="3"/>
          <c:tx>
            <c:strRef>
              <c:f>COMPARAÇÃO!$K$22:$K$23</c:f>
              <c:strCache>
                <c:ptCount val="2"/>
                <c:pt idx="0">
                  <c:v>P90</c:v>
                </c:pt>
                <c:pt idx="1">
                  <c:v>ALTERNATIVA E</c:v>
                </c:pt>
              </c:strCache>
            </c:strRef>
          </c:tx>
          <c:spPr>
            <a:ln w="28575" cap="rnd">
              <a:solidFill>
                <a:schemeClr val="accent4"/>
              </a:solidFill>
              <a:round/>
            </a:ln>
            <a:effectLst/>
          </c:spPr>
          <c:marker>
            <c:symbol val="none"/>
          </c:marker>
          <c:cat>
            <c:numRef>
              <c:f>COMPARAÇÃO!$G$24:$G$28</c:f>
              <c:numCache>
                <c:formatCode>General</c:formatCode>
                <c:ptCount val="5"/>
                <c:pt idx="0">
                  <c:v>0</c:v>
                </c:pt>
                <c:pt idx="1">
                  <c:v>0.25</c:v>
                </c:pt>
                <c:pt idx="2">
                  <c:v>0.5</c:v>
                </c:pt>
                <c:pt idx="3">
                  <c:v>0.75000000000000011</c:v>
                </c:pt>
                <c:pt idx="4">
                  <c:v>1</c:v>
                </c:pt>
              </c:numCache>
            </c:numRef>
          </c:cat>
          <c:val>
            <c:numRef>
              <c:f>COMPARAÇÃO!$K$24:$K$28</c:f>
              <c:numCache>
                <c:formatCode>General</c:formatCode>
                <c:ptCount val="5"/>
                <c:pt idx="0">
                  <c:v>0.9819</c:v>
                </c:pt>
                <c:pt idx="1">
                  <c:v>0.98149999999999993</c:v>
                </c:pt>
                <c:pt idx="2">
                  <c:v>0.98180000000000001</c:v>
                </c:pt>
                <c:pt idx="3">
                  <c:v>0.98180000000000001</c:v>
                </c:pt>
                <c:pt idx="4">
                  <c:v>0.9819</c:v>
                </c:pt>
              </c:numCache>
            </c:numRef>
          </c:val>
          <c:extLst xmlns:c16r2="http://schemas.microsoft.com/office/drawing/2015/06/chart">
            <c:ext xmlns:c16="http://schemas.microsoft.com/office/drawing/2014/chart" uri="{C3380CC4-5D6E-409C-BE32-E72D297353CC}">
              <c16:uniqueId val="{00000003-F49B-44B5-A4EB-8DEF45712BCC}"/>
            </c:ext>
          </c:extLst>
        </c:ser>
        <c:dLbls/>
        <c:marker val="1"/>
        <c:axId val="88827008"/>
        <c:axId val="88828544"/>
      </c:lineChart>
      <c:catAx>
        <c:axId val="888270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8828544"/>
        <c:crosses val="autoZero"/>
        <c:auto val="1"/>
        <c:lblAlgn val="ctr"/>
        <c:lblOffset val="100"/>
      </c:catAx>
      <c:valAx>
        <c:axId val="88828544"/>
        <c:scaling>
          <c:orientation val="minMax"/>
          <c:min val="0.98"/>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8827008"/>
        <c:crosses val="autoZero"/>
        <c:crossBetween val="between"/>
      </c:valAx>
      <c:spPr>
        <a:noFill/>
        <a:ln>
          <a:noFill/>
        </a:ln>
        <a:effectLst/>
      </c:spPr>
    </c:plotArea>
    <c:legend>
      <c:legendPos val="b"/>
      <c:legendEntry>
        <c:idx val="0"/>
        <c:delete val="1"/>
      </c:legendEntry>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8A97B-B42C-461D-821A-21897330A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3452</Words>
  <Characters>18647</Characters>
  <Application>Microsoft Office Word</Application>
  <DocSecurity>4</DocSecurity>
  <Lines>155</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22055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2019-11-26T13:51:00Z</cp:lastPrinted>
  <dcterms:created xsi:type="dcterms:W3CDTF">2019-12-19T19:15:00Z</dcterms:created>
  <dcterms:modified xsi:type="dcterms:W3CDTF">2019-12-19T19:15:00Z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