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C0D" w:rsidRPr="00CB01EF" w:rsidRDefault="00AD3A74" w:rsidP="00D764C8">
      <w:pPr>
        <w:rPr>
          <w:sz w:val="28"/>
        </w:rPr>
      </w:pPr>
      <w:r w:rsidRPr="00CB01EF">
        <w:t>PROJETO DE DETECÇÃO DE GÁS POR PLANILHA EX</w:t>
      </w:r>
      <w:r w:rsidR="00537480">
        <w:t>C</w:t>
      </w:r>
      <w:r w:rsidRPr="00CB01EF">
        <w:t>EL VERSUS FLUIODINÂMICA COMPUTACIONAL</w:t>
      </w:r>
      <w:r w:rsidR="00DF5C0E" w:rsidRPr="00CB01EF">
        <w:t xml:space="preserve"> (</w:t>
      </w:r>
      <w:r w:rsidRPr="00CB01EF">
        <w:t>CFD</w:t>
      </w:r>
      <w:r w:rsidR="00DF5C0E" w:rsidRPr="00CB01EF">
        <w:t>) -</w:t>
      </w:r>
      <w:r w:rsidRPr="00CB01EF">
        <w:t xml:space="preserve"> VANTANGENS E DESVANTAG</w:t>
      </w:r>
      <w:r w:rsidR="00DF5C0E" w:rsidRPr="00CB01EF">
        <w:t>ENS</w:t>
      </w:r>
    </w:p>
    <w:p w:rsidR="00BB52FE" w:rsidRPr="00CB01EF" w:rsidRDefault="00B71F24" w:rsidP="00D764C8">
      <w:r w:rsidRPr="00CB01EF">
        <w:t>João Victor Barbosa Alves</w:t>
      </w:r>
      <w:r w:rsidR="00BB52FE" w:rsidRPr="00CB01EF">
        <w:t>,</w:t>
      </w:r>
      <w:r w:rsidRPr="00CB01EF">
        <w:t xml:space="preserve"> LABCFD/UFRJ</w:t>
      </w:r>
    </w:p>
    <w:p w:rsidR="00B71F24" w:rsidRPr="00CB01EF" w:rsidRDefault="00B71F24" w:rsidP="00D764C8">
      <w:r w:rsidRPr="00CB01EF">
        <w:t xml:space="preserve">Homero </w:t>
      </w:r>
      <w:proofErr w:type="spellStart"/>
      <w:r w:rsidRPr="00CB01EF">
        <w:t>Aboud</w:t>
      </w:r>
      <w:proofErr w:type="spellEnd"/>
      <w:r w:rsidRPr="00CB01EF">
        <w:t>, PETROBRAS</w:t>
      </w:r>
    </w:p>
    <w:p w:rsidR="005F1C0D" w:rsidRPr="00CB01EF" w:rsidRDefault="005F1C0D" w:rsidP="00D764C8"/>
    <w:p w:rsidR="006311E0" w:rsidRPr="00CB01EF" w:rsidRDefault="009109FD" w:rsidP="00D764C8">
      <w:pPr>
        <w:pStyle w:val="Ttulo"/>
      </w:pPr>
      <w:r w:rsidRPr="00D764C8">
        <w:t>RESUMO</w:t>
      </w:r>
    </w:p>
    <w:p w:rsidR="00541FAF" w:rsidRPr="00CB01EF" w:rsidRDefault="00541FAF" w:rsidP="00D764C8"/>
    <w:p w:rsidR="00CB01EF" w:rsidRPr="00D764C8" w:rsidRDefault="00CB01EF" w:rsidP="00D764C8">
      <w:r w:rsidRPr="00D764C8">
        <w:t xml:space="preserve">Os detectores de gases inflamáveis e/ou tóxicos possuem papel fundamental como medidas de controle e barreiras de proteção, já que estes dispositivos podem ter, normalmente, </w:t>
      </w:r>
      <w:r w:rsidR="006C2A2D" w:rsidRPr="00D764C8">
        <w:t xml:space="preserve">interface com o desligamento de emergência, </w:t>
      </w:r>
      <w:proofErr w:type="spellStart"/>
      <w:r w:rsidR="006C2A2D" w:rsidRPr="006C2A2D">
        <w:rPr>
          <w:i/>
          <w:iCs/>
        </w:rPr>
        <w:t>blowdown</w:t>
      </w:r>
      <w:proofErr w:type="spellEnd"/>
      <w:r w:rsidR="006C2A2D" w:rsidRPr="00D764C8">
        <w:t xml:space="preserve">, controle de fonte de ignição, ventilação, sistema de alarmes e sistemas de combate a incêndio. porém, as normas e recomendações técnicas não indicam o </w:t>
      </w:r>
      <w:r w:rsidRPr="00D764C8">
        <w:t>local exato e nem a quantidade necessária de detectores. Por tal razão, o presente trabalho teve como objetivo demonstrar a importância e principais vantagens da utilização de</w:t>
      </w:r>
      <w:r w:rsidR="006C2A2D">
        <w:t xml:space="preserve"> fluidodinâmica computacional (</w:t>
      </w:r>
      <w:r w:rsidRPr="00D764C8">
        <w:t>CFD</w:t>
      </w:r>
      <w:r w:rsidR="006C2A2D">
        <w:t>)</w:t>
      </w:r>
      <w:r w:rsidRPr="00D764C8">
        <w:t xml:space="preserve"> na determinação da posição dos detectores de gases tóxicos e/ou inflamáveis. Os principais resultados mostraram que as normas apresentam recomendações para o posicionamento dos detectores, mas sem determinar a sua quantidade e localização. O estudo também comparou os resultados de CFD com recomendações técnicas em forma de planilha. E foi observado que esta poderia ser utilizada para uma avaliação preliminar e não para o posicionamento final dos dispositivos, em função da complexidade dos fenômenos presentes em tal determinação. </w:t>
      </w:r>
    </w:p>
    <w:p w:rsidR="00CB01EF" w:rsidRPr="00CB01EF" w:rsidRDefault="00CB01EF" w:rsidP="00D764C8"/>
    <w:p w:rsidR="00D162E0" w:rsidRPr="00CB01EF" w:rsidRDefault="002E0FE6" w:rsidP="00D764C8">
      <w:pPr>
        <w:pStyle w:val="Ttulo1"/>
      </w:pPr>
      <w:r>
        <w:t>INTRODUÇÃO</w:t>
      </w:r>
    </w:p>
    <w:p w:rsidR="00D764C8" w:rsidRDefault="00D764C8" w:rsidP="00D764C8"/>
    <w:p w:rsidR="002E0FE6" w:rsidRDefault="00223775" w:rsidP="00D764C8">
      <w:r>
        <w:t xml:space="preserve">As diferentes etapas da cadeia de produção de petróleo são a </w:t>
      </w:r>
      <w:r w:rsidR="002E0FE6">
        <w:t>extração, produção, transporte de petróleo e gás, refino, transporte e comercialização dos produtos derivados.</w:t>
      </w:r>
      <w:r>
        <w:t xml:space="preserve"> Sendo os campos marítimos, ou campos de produção</w:t>
      </w:r>
      <w:r w:rsidRPr="00223775">
        <w:rPr>
          <w:i/>
          <w:iCs/>
        </w:rPr>
        <w:t xml:space="preserve"> offshore</w:t>
      </w:r>
      <w:r>
        <w:t>, a principal fonte de exploração do petróleo brasileir</w:t>
      </w:r>
      <w:r w:rsidR="000E0553">
        <w:t xml:space="preserve">o, durante o processo de exploração de petróleo as plataformas marítimas também fazem o pré-processamento do gás e do óleo produzido </w:t>
      </w:r>
      <w:sdt>
        <w:sdtPr>
          <w:id w:val="-862819333"/>
          <w:citation/>
        </w:sdtPr>
        <w:sdtContent>
          <w:r w:rsidR="00874417">
            <w:fldChar w:fldCharType="begin"/>
          </w:r>
          <w:r w:rsidR="000E0553">
            <w:instrText xml:space="preserve"> CITATION PIN09 \l 1046 </w:instrText>
          </w:r>
          <w:r w:rsidR="00874417">
            <w:fldChar w:fldCharType="separate"/>
          </w:r>
          <w:r w:rsidR="00C205D9" w:rsidRPr="00C205D9">
            <w:rPr>
              <w:noProof/>
            </w:rPr>
            <w:t>[2]</w:t>
          </w:r>
          <w:r w:rsidR="00874417">
            <w:fldChar w:fldCharType="end"/>
          </w:r>
        </w:sdtContent>
      </w:sdt>
      <w:r w:rsidR="000E0553">
        <w:t xml:space="preserve">. Desta forma, serão enviados para as refinarias apenas os produtos extraídos que apresentam valor comercial. </w:t>
      </w:r>
      <w:r w:rsidR="002E0FE6">
        <w:t xml:space="preserve">Por essa razão, são necessárias operações para remoção da água e de impurezas que possam estar presentes no óleo e no gás, como areia e sais. Além disso, tal remoção se faz necessária para reduzir os custos com corrosão e dimensionamento de equipamentos como bombas, vasos e tubulações </w:t>
      </w:r>
      <w:sdt>
        <w:sdtPr>
          <w:id w:val="851373445"/>
          <w:citation/>
        </w:sdtPr>
        <w:sdtContent>
          <w:r w:rsidR="00874417">
            <w:fldChar w:fldCharType="begin"/>
          </w:r>
          <w:r w:rsidR="006F24E8">
            <w:instrText xml:space="preserve">CITATION DAP15 \l 1046 </w:instrText>
          </w:r>
          <w:r w:rsidR="00874417">
            <w:fldChar w:fldCharType="separate"/>
          </w:r>
          <w:r w:rsidR="00C205D9" w:rsidRPr="00C205D9">
            <w:rPr>
              <w:noProof/>
            </w:rPr>
            <w:t>[3]</w:t>
          </w:r>
          <w:r w:rsidR="00874417">
            <w:fldChar w:fldCharType="end"/>
          </w:r>
        </w:sdtContent>
      </w:sdt>
      <w:r w:rsidR="006F24E8">
        <w:t xml:space="preserve">, </w:t>
      </w:r>
      <w:r w:rsidR="002E0FE6">
        <w:t>uma vez que espaço em plataformas é um limitante.</w:t>
      </w:r>
    </w:p>
    <w:p w:rsidR="002E0FE6" w:rsidRDefault="006F24E8" w:rsidP="00D764C8">
      <w:r>
        <w:t>Durante as etapas de refino do petróleo nas refinarias existem várias unidades que realizam o processamento do petróleo</w:t>
      </w:r>
      <w:r w:rsidR="00116D93">
        <w:t xml:space="preserve">, a depender tanto da natureza do óleo quanto da necessidade de se produzir os produtos mais demandados ou com maior valor comercial. Podemos dividir </w:t>
      </w:r>
      <w:r w:rsidR="009C0612">
        <w:t xml:space="preserve">em três processos as principais operações em uma refinaria sendo elas: </w:t>
      </w:r>
      <w:r w:rsidR="002E0FE6">
        <w:t xml:space="preserve">destilação, alteração da estrutura molecular (craqueamento térmico, reforma catalítica, alquilação, etc.) e purificação </w:t>
      </w:r>
      <w:sdt>
        <w:sdtPr>
          <w:id w:val="973877429"/>
          <w:citation/>
        </w:sdtPr>
        <w:sdtContent>
          <w:r w:rsidR="00874417">
            <w:fldChar w:fldCharType="begin"/>
          </w:r>
          <w:r w:rsidR="009C0612">
            <w:instrText xml:space="preserve"> CITATION NOL11 \l 1046 </w:instrText>
          </w:r>
          <w:r w:rsidR="00874417">
            <w:fldChar w:fldCharType="separate"/>
          </w:r>
          <w:r w:rsidR="00C205D9" w:rsidRPr="00C205D9">
            <w:rPr>
              <w:noProof/>
            </w:rPr>
            <w:t>[4]</w:t>
          </w:r>
          <w:r w:rsidR="00874417">
            <w:fldChar w:fldCharType="end"/>
          </w:r>
        </w:sdtContent>
      </w:sdt>
      <w:r w:rsidR="009C0612">
        <w:t>. Através dessas transformações</w:t>
      </w:r>
      <w:r w:rsidR="00300704">
        <w:t xml:space="preserve"> são obtidos os principais </w:t>
      </w:r>
      <w:r w:rsidR="009C0612">
        <w:t xml:space="preserve">combustíveis como </w:t>
      </w:r>
      <w:r w:rsidR="002E0FE6">
        <w:t>diesel,gasolina, querosene</w:t>
      </w:r>
      <w:r w:rsidR="00300704">
        <w:t xml:space="preserve"> e </w:t>
      </w:r>
      <w:r w:rsidR="002E0FE6">
        <w:t>GLP</w:t>
      </w:r>
      <w:r w:rsidR="00300704">
        <w:t>, m</w:t>
      </w:r>
      <w:r w:rsidR="002E0FE6">
        <w:t xml:space="preserve">atérias primas de natureza petroquímica, lubrificantes e parafinas </w:t>
      </w:r>
      <w:sdt>
        <w:sdtPr>
          <w:id w:val="1288626095"/>
          <w:citation/>
        </w:sdtPr>
        <w:sdtContent>
          <w:r w:rsidR="00874417">
            <w:fldChar w:fldCharType="begin"/>
          </w:r>
          <w:r w:rsidR="00300704">
            <w:instrText xml:space="preserve"> CITATION DAP15 \l 1046 </w:instrText>
          </w:r>
          <w:r w:rsidR="00874417">
            <w:fldChar w:fldCharType="separate"/>
          </w:r>
          <w:r w:rsidR="00C205D9" w:rsidRPr="00C205D9">
            <w:rPr>
              <w:noProof/>
            </w:rPr>
            <w:t>[3]</w:t>
          </w:r>
          <w:r w:rsidR="00874417">
            <w:fldChar w:fldCharType="end"/>
          </w:r>
        </w:sdtContent>
      </w:sdt>
      <w:r w:rsidR="00300704">
        <w:t xml:space="preserve"> e </w:t>
      </w:r>
      <w:sdt>
        <w:sdtPr>
          <w:id w:val="-1459788972"/>
          <w:citation/>
        </w:sdtPr>
        <w:sdtContent>
          <w:r w:rsidR="00874417">
            <w:fldChar w:fldCharType="begin"/>
          </w:r>
          <w:r w:rsidR="00300704">
            <w:instrText xml:space="preserve"> CITATION NOL11 \l 1046 </w:instrText>
          </w:r>
          <w:r w:rsidR="00874417">
            <w:fldChar w:fldCharType="separate"/>
          </w:r>
          <w:r w:rsidR="00C205D9" w:rsidRPr="00C205D9">
            <w:rPr>
              <w:noProof/>
            </w:rPr>
            <w:t>[4]</w:t>
          </w:r>
          <w:r w:rsidR="00874417">
            <w:fldChar w:fldCharType="end"/>
          </w:r>
        </w:sdtContent>
      </w:sdt>
      <w:r w:rsidR="00300704">
        <w:t>.</w:t>
      </w:r>
    </w:p>
    <w:p w:rsidR="002A4355" w:rsidRDefault="00FD3956" w:rsidP="00D764C8">
      <w:r>
        <w:t xml:space="preserve">Os processos utilizados nas </w:t>
      </w:r>
      <w:r w:rsidRPr="00FD3956">
        <w:t>etapas de elevação, produção e refino</w:t>
      </w:r>
      <w:r>
        <w:t xml:space="preserve"> empregam elevadas </w:t>
      </w:r>
      <w:r w:rsidR="002E0FE6">
        <w:t xml:space="preserve">temperaturas e pressões. Além disso, as substâncias presentes nas correntes destes processos são frequentemente inflamáveis e tóxicas (ex. hidrocarbonetos, hidrogênio e gás sulfídrico). Por isso, são necessárias medidas de controle, barreiras de proteção e dispositivos responsáveis pela mitigação de consequências, para preservar a vida dos funcionários, da comunidade vizinha, a integridade dos equipamentos e o meio ambiente.Para tentar minimizar esses impactos o sistema de detecção de gás tem interação com o desligamento de emergência, </w:t>
      </w:r>
      <w:proofErr w:type="spellStart"/>
      <w:r w:rsidR="002E0FE6" w:rsidRPr="007E6BEA">
        <w:rPr>
          <w:i/>
          <w:iCs/>
        </w:rPr>
        <w:t>blowdown</w:t>
      </w:r>
      <w:proofErr w:type="spellEnd"/>
      <w:r w:rsidR="002E0FE6">
        <w:t xml:space="preserve">, controle de fonte de ignição, ventilação, sistema de alarme público, alarmes, e sistemas de </w:t>
      </w:r>
      <w:r w:rsidR="002E0FE6">
        <w:lastRenderedPageBreak/>
        <w:t xml:space="preserve">combate a incêndio </w:t>
      </w:r>
      <w:sdt>
        <w:sdtPr>
          <w:id w:val="104241089"/>
          <w:citation/>
        </w:sdtPr>
        <w:sdtContent>
          <w:r w:rsidR="00874417">
            <w:fldChar w:fldCharType="begin"/>
          </w:r>
          <w:r w:rsidR="004A37E1">
            <w:instrText xml:space="preserve"> CITATION DAP15 \l 1046 </w:instrText>
          </w:r>
          <w:r w:rsidR="00874417">
            <w:fldChar w:fldCharType="separate"/>
          </w:r>
          <w:r w:rsidR="00C205D9" w:rsidRPr="00C205D9">
            <w:rPr>
              <w:noProof/>
            </w:rPr>
            <w:t>[3]</w:t>
          </w:r>
          <w:r w:rsidR="00874417">
            <w:fldChar w:fldCharType="end"/>
          </w:r>
        </w:sdtContent>
      </w:sdt>
      <w:r w:rsidR="004A37E1">
        <w:t xml:space="preserve"> ,</w:t>
      </w:r>
      <w:sdt>
        <w:sdtPr>
          <w:id w:val="-1346623816"/>
          <w:citation/>
        </w:sdtPr>
        <w:sdtContent>
          <w:r w:rsidR="00874417">
            <w:fldChar w:fldCharType="begin"/>
          </w:r>
          <w:r w:rsidR="00300704">
            <w:instrText xml:space="preserve"> CITATION AME01 \l 1046 </w:instrText>
          </w:r>
          <w:r w:rsidR="00874417">
            <w:fldChar w:fldCharType="separate"/>
          </w:r>
          <w:r w:rsidR="00C205D9" w:rsidRPr="00C205D9">
            <w:rPr>
              <w:noProof/>
            </w:rPr>
            <w:t>[5]</w:t>
          </w:r>
          <w:r w:rsidR="00874417">
            <w:fldChar w:fldCharType="end"/>
          </w:r>
        </w:sdtContent>
      </w:sdt>
      <w:r w:rsidR="004A37E1">
        <w:t xml:space="preserve"> e</w:t>
      </w:r>
      <w:sdt>
        <w:sdtPr>
          <w:id w:val="-1118750112"/>
          <w:citation/>
        </w:sdtPr>
        <w:sdtContent>
          <w:r w:rsidR="00874417">
            <w:fldChar w:fldCharType="begin"/>
          </w:r>
          <w:r w:rsidR="00300704">
            <w:instrText xml:space="preserve"> CITATION NOR08 \l 1046 </w:instrText>
          </w:r>
          <w:r w:rsidR="00874417">
            <w:fldChar w:fldCharType="separate"/>
          </w:r>
          <w:r w:rsidR="00C205D9" w:rsidRPr="00C205D9">
            <w:rPr>
              <w:noProof/>
            </w:rPr>
            <w:t>[6]</w:t>
          </w:r>
          <w:r w:rsidR="00874417">
            <w:fldChar w:fldCharType="end"/>
          </w:r>
        </w:sdtContent>
      </w:sdt>
      <w:r w:rsidR="002E0FE6">
        <w:t>. Com tais ações pretende-se reduzir os riscos de acidentes graves, como os que ocorreram ao longo da história.</w:t>
      </w:r>
    </w:p>
    <w:p w:rsidR="0084785B" w:rsidRDefault="0084785B" w:rsidP="0084785B">
      <w:r>
        <w:t>O sistema fixo de detecção de gás deve ser capaz de fornecer um pré-alarme indicando a presença e a localização de gás tóxico ou inflamável de forma rápida</w:t>
      </w:r>
      <w:r w:rsidR="004D1DBC">
        <w:t xml:space="preserve">, reduzindo assim </w:t>
      </w:r>
      <w:r>
        <w:t>as chances da nuvem aumentar em concentração e tamanho</w:t>
      </w:r>
      <w:sdt>
        <w:sdtPr>
          <w:id w:val="-32972854"/>
          <w:citation/>
        </w:sdtPr>
        <w:sdtContent>
          <w:r w:rsidR="00874417">
            <w:fldChar w:fldCharType="begin"/>
          </w:r>
          <w:r w:rsidR="003F6D4D">
            <w:instrText xml:space="preserve"> CITATION NOR08 \l 1046 </w:instrText>
          </w:r>
          <w:r w:rsidR="00874417">
            <w:fldChar w:fldCharType="separate"/>
          </w:r>
          <w:r w:rsidR="00C205D9" w:rsidRPr="00C205D9">
            <w:rPr>
              <w:noProof/>
            </w:rPr>
            <w:t>[6]</w:t>
          </w:r>
          <w:r w:rsidR="00874417">
            <w:fldChar w:fldCharType="end"/>
          </w:r>
        </w:sdtContent>
      </w:sdt>
      <w:r w:rsidR="003F6D4D">
        <w:t>,</w:t>
      </w:r>
      <w:sdt>
        <w:sdtPr>
          <w:id w:val="-1352876071"/>
          <w:citation/>
        </w:sdtPr>
        <w:sdtContent>
          <w:r w:rsidR="00874417">
            <w:fldChar w:fldCharType="begin"/>
          </w:r>
          <w:r w:rsidR="006F118F">
            <w:instrText xml:space="preserve"> CITATION ASS \l 1046 </w:instrText>
          </w:r>
          <w:r w:rsidR="00874417">
            <w:fldChar w:fldCharType="separate"/>
          </w:r>
          <w:r w:rsidR="00C205D9" w:rsidRPr="00C205D9">
            <w:rPr>
              <w:noProof/>
            </w:rPr>
            <w:t>[7]</w:t>
          </w:r>
          <w:r w:rsidR="00874417">
            <w:fldChar w:fldCharType="end"/>
          </w:r>
        </w:sdtContent>
      </w:sdt>
      <w:r w:rsidR="006F118F">
        <w:t>,</w:t>
      </w:r>
      <w:sdt>
        <w:sdtPr>
          <w:id w:val="-1792281443"/>
          <w:citation/>
        </w:sdtPr>
        <w:sdtContent>
          <w:r w:rsidR="00874417">
            <w:fldChar w:fldCharType="begin"/>
          </w:r>
          <w:r w:rsidR="006F118F">
            <w:instrText xml:space="preserve"> CITATION DAV11 \l 1046 </w:instrText>
          </w:r>
          <w:r w:rsidR="00874417">
            <w:fldChar w:fldCharType="separate"/>
          </w:r>
          <w:r w:rsidR="00C205D9" w:rsidRPr="00C205D9">
            <w:rPr>
              <w:noProof/>
            </w:rPr>
            <w:t>[8]</w:t>
          </w:r>
          <w:r w:rsidR="00874417">
            <w:fldChar w:fldCharType="end"/>
          </w:r>
        </w:sdtContent>
      </w:sdt>
      <w:r w:rsidR="003F6D4D">
        <w:t xml:space="preserve"> e</w:t>
      </w:r>
      <w:sdt>
        <w:sdtPr>
          <w:id w:val="553118265"/>
          <w:citation/>
        </w:sdtPr>
        <w:sdtContent>
          <w:r w:rsidR="00874417">
            <w:fldChar w:fldCharType="begin"/>
          </w:r>
          <w:r w:rsidR="006F118F">
            <w:instrText xml:space="preserve"> CITATION ISA03 \l 1046 </w:instrText>
          </w:r>
          <w:r w:rsidR="00874417">
            <w:fldChar w:fldCharType="separate"/>
          </w:r>
          <w:r w:rsidR="00C205D9" w:rsidRPr="00C205D9">
            <w:rPr>
              <w:noProof/>
            </w:rPr>
            <w:t>[9]</w:t>
          </w:r>
          <w:r w:rsidR="00874417">
            <w:fldChar w:fldCharType="end"/>
          </w:r>
        </w:sdtContent>
      </w:sdt>
      <w:r w:rsidR="00294D1F">
        <w:t>.</w:t>
      </w:r>
      <w:r w:rsidR="00E45511">
        <w:t xml:space="preserve">  Por essa razão, a principal função do projeto e instalação de sistemas fixos de detecção de gás é definir a quantidade e a localização dos detectores </w:t>
      </w:r>
      <w:sdt>
        <w:sdtPr>
          <w:id w:val="913428542"/>
          <w:citation/>
        </w:sdtPr>
        <w:sdtContent>
          <w:r w:rsidR="00874417">
            <w:fldChar w:fldCharType="begin"/>
          </w:r>
          <w:r w:rsidR="00E45511">
            <w:instrText xml:space="preserve"> CITATION ASS \l 1046 </w:instrText>
          </w:r>
          <w:r w:rsidR="00874417">
            <w:fldChar w:fldCharType="separate"/>
          </w:r>
          <w:r w:rsidR="00C205D9" w:rsidRPr="00C205D9">
            <w:rPr>
              <w:noProof/>
            </w:rPr>
            <w:t>[7]</w:t>
          </w:r>
          <w:r w:rsidR="00874417">
            <w:fldChar w:fldCharType="end"/>
          </w:r>
        </w:sdtContent>
      </w:sdt>
      <w:r w:rsidR="00E45511">
        <w:t>.</w:t>
      </w:r>
      <w:r w:rsidR="004D1DBC">
        <w:t xml:space="preserve">Entretanto, como o comportamento dos gases durante um vazamento são de grande complexidade e são influenciados por muitas variáveis recomenda-se a adoção de simulações numéricas para descrever o comportamento dos gases </w:t>
      </w:r>
      <w:sdt>
        <w:sdtPr>
          <w:id w:val="-482243321"/>
          <w:citation/>
        </w:sdtPr>
        <w:sdtContent>
          <w:r w:rsidR="00874417">
            <w:fldChar w:fldCharType="begin"/>
          </w:r>
          <w:r w:rsidR="00776E83">
            <w:instrText xml:space="preserve"> CITATION NOR08 \l 1046 </w:instrText>
          </w:r>
          <w:r w:rsidR="00874417">
            <w:fldChar w:fldCharType="separate"/>
          </w:r>
          <w:r w:rsidR="00C205D9" w:rsidRPr="00C205D9">
            <w:rPr>
              <w:noProof/>
            </w:rPr>
            <w:t>[6]</w:t>
          </w:r>
          <w:r w:rsidR="00874417">
            <w:fldChar w:fldCharType="end"/>
          </w:r>
        </w:sdtContent>
      </w:sdt>
      <w:r w:rsidR="00776E83">
        <w:t xml:space="preserve"> , </w:t>
      </w:r>
      <w:sdt>
        <w:sdtPr>
          <w:id w:val="-1449160660"/>
          <w:citation/>
        </w:sdtPr>
        <w:sdtContent>
          <w:r w:rsidR="00874417">
            <w:fldChar w:fldCharType="begin"/>
          </w:r>
          <w:r w:rsidR="004D1DBC">
            <w:instrText xml:space="preserve"> CITATION ASS \l 1046 </w:instrText>
          </w:r>
          <w:r w:rsidR="00874417">
            <w:fldChar w:fldCharType="separate"/>
          </w:r>
          <w:r w:rsidR="00C205D9" w:rsidRPr="00C205D9">
            <w:rPr>
              <w:noProof/>
            </w:rPr>
            <w:t>[7]</w:t>
          </w:r>
          <w:r w:rsidR="00874417">
            <w:fldChar w:fldCharType="end"/>
          </w:r>
        </w:sdtContent>
      </w:sdt>
      <w:r w:rsidR="004D1DBC">
        <w:t xml:space="preserve"> e </w:t>
      </w:r>
      <w:sdt>
        <w:sdtPr>
          <w:id w:val="1670065942"/>
          <w:citation/>
        </w:sdtPr>
        <w:sdtContent>
          <w:r w:rsidR="00874417">
            <w:fldChar w:fldCharType="begin"/>
          </w:r>
          <w:r w:rsidR="004D1DBC">
            <w:instrText xml:space="preserve"> CITATION ISA03 \l 1046 </w:instrText>
          </w:r>
          <w:r w:rsidR="00874417">
            <w:fldChar w:fldCharType="separate"/>
          </w:r>
          <w:r w:rsidR="00C205D9" w:rsidRPr="00C205D9">
            <w:rPr>
              <w:noProof/>
            </w:rPr>
            <w:t>[9]</w:t>
          </w:r>
          <w:r w:rsidR="00874417">
            <w:fldChar w:fldCharType="end"/>
          </w:r>
        </w:sdtContent>
      </w:sdt>
      <w:r w:rsidR="00776E83">
        <w:t xml:space="preserve"> e como base para otimização do número e posicionamento dos detectores </w:t>
      </w:r>
      <w:sdt>
        <w:sdtPr>
          <w:id w:val="357163762"/>
          <w:citation/>
        </w:sdtPr>
        <w:sdtContent>
          <w:r w:rsidR="00874417">
            <w:fldChar w:fldCharType="begin"/>
          </w:r>
          <w:r w:rsidR="00776E83">
            <w:instrText xml:space="preserve"> CITATION NOR08 \l 1046 </w:instrText>
          </w:r>
          <w:r w:rsidR="00874417">
            <w:fldChar w:fldCharType="separate"/>
          </w:r>
          <w:r w:rsidR="00C205D9" w:rsidRPr="00C205D9">
            <w:rPr>
              <w:noProof/>
            </w:rPr>
            <w:t>[6]</w:t>
          </w:r>
          <w:r w:rsidR="00874417">
            <w:fldChar w:fldCharType="end"/>
          </w:r>
        </w:sdtContent>
      </w:sdt>
      <w:r w:rsidR="00776E83">
        <w:t xml:space="preserve">. </w:t>
      </w:r>
    </w:p>
    <w:p w:rsidR="00B048BC" w:rsidRPr="00F33067" w:rsidRDefault="00CD69FD" w:rsidP="00CD69FD">
      <w:r>
        <w:t>O</w:t>
      </w:r>
      <w:r w:rsidRPr="00F33067">
        <w:t xml:space="preserve"> estudo de dispersão</w:t>
      </w:r>
      <w:r>
        <w:t xml:space="preserve"> de gases utilizando CFD</w:t>
      </w:r>
      <w:r w:rsidRPr="00F33067">
        <w:t xml:space="preserve"> é desenvolvido </w:t>
      </w:r>
      <w:r>
        <w:t xml:space="preserve">baseado na construção de cenários tais como </w:t>
      </w:r>
      <w:sdt>
        <w:sdtPr>
          <w:id w:val="45043136"/>
          <w:citation/>
        </w:sdtPr>
        <w:sdtContent>
          <w:r w:rsidR="00874417">
            <w:fldChar w:fldCharType="begin"/>
          </w:r>
          <w:r>
            <w:instrText xml:space="preserve"> CITATION DAV11 \l 1046 </w:instrText>
          </w:r>
          <w:r w:rsidR="00874417">
            <w:fldChar w:fldCharType="separate"/>
          </w:r>
          <w:r w:rsidR="00C205D9" w:rsidRPr="00C205D9">
            <w:rPr>
              <w:noProof/>
            </w:rPr>
            <w:t>[8]</w:t>
          </w:r>
          <w:r w:rsidR="00874417">
            <w:fldChar w:fldCharType="end"/>
          </w:r>
        </w:sdtContent>
      </w:sdt>
      <w:r>
        <w:t xml:space="preserve">, </w:t>
      </w:r>
      <w:sdt>
        <w:sdtPr>
          <w:id w:val="-1250430037"/>
          <w:citation/>
        </w:sdtPr>
        <w:sdtContent>
          <w:r w:rsidR="00874417">
            <w:fldChar w:fldCharType="begin"/>
          </w:r>
          <w:r>
            <w:instrText xml:space="preserve"> CITATION BAS06 \l 1046 </w:instrText>
          </w:r>
          <w:r w:rsidR="00874417">
            <w:fldChar w:fldCharType="separate"/>
          </w:r>
          <w:r w:rsidR="00C205D9" w:rsidRPr="00C205D9">
            <w:rPr>
              <w:noProof/>
            </w:rPr>
            <w:t>[10]</w:t>
          </w:r>
          <w:r w:rsidR="00874417">
            <w:fldChar w:fldCharType="end"/>
          </w:r>
        </w:sdtContent>
      </w:sdt>
      <w:r>
        <w:t>,</w:t>
      </w:r>
      <w:sdt>
        <w:sdtPr>
          <w:id w:val="-1824648950"/>
          <w:citation/>
        </w:sdtPr>
        <w:sdtContent>
          <w:r w:rsidR="00874417">
            <w:fldChar w:fldCharType="begin"/>
          </w:r>
          <w:r>
            <w:instrText xml:space="preserve"> CITATION FLE08 \l 1046 </w:instrText>
          </w:r>
          <w:r w:rsidR="00874417">
            <w:fldChar w:fldCharType="separate"/>
          </w:r>
          <w:r w:rsidR="00C205D9" w:rsidRPr="00C205D9">
            <w:rPr>
              <w:noProof/>
            </w:rPr>
            <w:t>[11]</w:t>
          </w:r>
          <w:r w:rsidR="00874417">
            <w:fldChar w:fldCharType="end"/>
          </w:r>
        </w:sdtContent>
      </w:sdt>
      <w:r>
        <w:t xml:space="preserve"> e</w:t>
      </w:r>
      <w:sdt>
        <w:sdtPr>
          <w:id w:val="1938207"/>
          <w:citation/>
        </w:sdtPr>
        <w:sdtContent>
          <w:r w:rsidR="00874417">
            <w:fldChar w:fldCharType="begin"/>
          </w:r>
          <w:r>
            <w:instrText xml:space="preserve"> CITATION RAD17 \l 1046 </w:instrText>
          </w:r>
          <w:r w:rsidR="00874417">
            <w:fldChar w:fldCharType="separate"/>
          </w:r>
          <w:r w:rsidR="00C205D9" w:rsidRPr="00C205D9">
            <w:rPr>
              <w:noProof/>
            </w:rPr>
            <w:t>[12]</w:t>
          </w:r>
          <w:r w:rsidR="00874417">
            <w:fldChar w:fldCharType="end"/>
          </w:r>
        </w:sdtContent>
      </w:sdt>
      <w:r>
        <w:t xml:space="preserve">: </w:t>
      </w:r>
      <w:r w:rsidRPr="00F33067">
        <w:t>ponto de vazamento;direção do vazamento;velocidade e frequência do vento (perfil e estabilidade);direção do vento do vento;taxa de liberação;composição do gás; tamanho e geometria do furo</w:t>
      </w:r>
      <w:r>
        <w:t xml:space="preserve"> e </w:t>
      </w:r>
      <w:r w:rsidRPr="00F33067">
        <w:t>condições de operação do equipamento ou da linha (ex. pressão, temperatura, vazão e volume)</w:t>
      </w:r>
      <w:r>
        <w:t xml:space="preserve">. </w:t>
      </w:r>
      <w:r w:rsidR="00B048BC" w:rsidRPr="00F33067">
        <w:t xml:space="preserve">Essas combinações representam um dos grandes desafios de um </w:t>
      </w:r>
      <w:r w:rsidR="00B048BC">
        <w:t>e</w:t>
      </w:r>
      <w:r w:rsidR="00B048BC" w:rsidRPr="00F33067">
        <w:t xml:space="preserve">studo de </w:t>
      </w:r>
      <w:r w:rsidR="00B048BC">
        <w:t>d</w:t>
      </w:r>
      <w:r w:rsidR="00B048BC" w:rsidRPr="00F33067">
        <w:t>ispersão real</w:t>
      </w:r>
      <w:r>
        <w:t xml:space="preserve"> devido à</w:t>
      </w:r>
      <w:r w:rsidR="00B048BC" w:rsidRPr="00F33067">
        <w:t xml:space="preserve"> grande quantidade de dados necessários para uma correta avaliação. Um estudo típico realizado em uma dada área (podendo ser um setor de uma plataforma ou uma unidade de processo em uma refinaria) chega a apresentar 600 simulações</w:t>
      </w:r>
      <w:sdt>
        <w:sdtPr>
          <w:id w:val="1713995017"/>
          <w:citation/>
        </w:sdtPr>
        <w:sdtContent>
          <w:r w:rsidR="00874417">
            <w:fldChar w:fldCharType="begin"/>
          </w:r>
          <w:r w:rsidR="00B048BC">
            <w:instrText xml:space="preserve"> CITATION DAV11 \l 1046 </w:instrText>
          </w:r>
          <w:r w:rsidR="00874417">
            <w:fldChar w:fldCharType="separate"/>
          </w:r>
          <w:r w:rsidR="00C205D9" w:rsidRPr="00C205D9">
            <w:rPr>
              <w:noProof/>
            </w:rPr>
            <w:t>[8]</w:t>
          </w:r>
          <w:r w:rsidR="00874417">
            <w:fldChar w:fldCharType="end"/>
          </w:r>
        </w:sdtContent>
      </w:sdt>
      <w:r w:rsidR="00C0219E">
        <w:t xml:space="preserve"> ou mais. </w:t>
      </w:r>
    </w:p>
    <w:p w:rsidR="00B048BC" w:rsidRPr="00CB01EF" w:rsidRDefault="00B048BC" w:rsidP="00D764C8"/>
    <w:p w:rsidR="00E01E00" w:rsidRDefault="00FE7567" w:rsidP="00D764C8">
      <w:pPr>
        <w:pStyle w:val="Ttulo1"/>
      </w:pPr>
      <w:r>
        <w:t>DESCRIÇÃO</w:t>
      </w:r>
    </w:p>
    <w:p w:rsidR="00D32A61" w:rsidRPr="00D32A61" w:rsidRDefault="00D32A61" w:rsidP="00070488">
      <w:pPr>
        <w:pStyle w:val="Ttulo2"/>
      </w:pPr>
      <w:r w:rsidRPr="00070488">
        <w:t>Projeto</w:t>
      </w:r>
      <w:r w:rsidRPr="00D32A61">
        <w:t xml:space="preserve"> de detecção com a planilha </w:t>
      </w:r>
      <w:proofErr w:type="spellStart"/>
      <w:r w:rsidRPr="00D32A61">
        <w:t>excel</w:t>
      </w:r>
      <w:proofErr w:type="spellEnd"/>
    </w:p>
    <w:p w:rsidR="00B023EE" w:rsidRDefault="00B023EE" w:rsidP="00835D6A"/>
    <w:p w:rsidR="008B494F" w:rsidRDefault="008B494F" w:rsidP="00835D6A">
      <w:r>
        <w:t xml:space="preserve">Embora diversos estudos na literatura, normas nacionais e internacionais e especificações técnicas da </w:t>
      </w:r>
      <w:proofErr w:type="spellStart"/>
      <w:r>
        <w:t>Pedrobras</w:t>
      </w:r>
      <w:proofErr w:type="spellEnd"/>
      <w:r>
        <w:t xml:space="preserve"> recomendem a utilização da fluidodin</w:t>
      </w:r>
      <w:r w:rsidR="00835D6A">
        <w:t>âmica computacional como ferramenta para executar o estudo de dispersão de gases, recentemente surgiu na Petrobras uma metodologia para posicionar e otimizar os detectores utilizando uma planilha em Excel. Esta planilha segue o</w:t>
      </w:r>
      <w:r w:rsidR="00B023EE" w:rsidRPr="00835D6A">
        <w:t>PE – 2IND – 00177</w:t>
      </w:r>
      <w:sdt>
        <w:sdtPr>
          <w:id w:val="-654372878"/>
          <w:citation/>
        </w:sdtPr>
        <w:sdtContent>
          <w:r w:rsidR="00874417">
            <w:fldChar w:fldCharType="begin"/>
          </w:r>
          <w:r w:rsidR="00B023EE">
            <w:instrText xml:space="preserve"> CITATION Pet \l 1046 </w:instrText>
          </w:r>
          <w:r w:rsidR="00874417">
            <w:fldChar w:fldCharType="separate"/>
          </w:r>
          <w:r w:rsidR="00B023EE" w:rsidRPr="00B023EE">
            <w:rPr>
              <w:noProof/>
            </w:rPr>
            <w:t>[13]</w:t>
          </w:r>
          <w:r w:rsidR="00874417">
            <w:fldChar w:fldCharType="end"/>
          </w:r>
        </w:sdtContent>
      </w:sdt>
      <w:r w:rsidR="00835D6A">
        <w:t>, que estabelece</w:t>
      </w:r>
      <w:r w:rsidR="00835D6A" w:rsidRPr="00835D6A">
        <w:t>critérios para aplicação de sistemas fixos de detecção de gases inflamáveis, gases tóxicos e chama nas unidades de operação do refino</w:t>
      </w:r>
      <w:r w:rsidR="00E52FAB">
        <w:t>.</w:t>
      </w:r>
    </w:p>
    <w:p w:rsidR="00632190" w:rsidRPr="00835D6A" w:rsidRDefault="00C538EB" w:rsidP="00835D6A">
      <w:r>
        <w:t xml:space="preserve">Conforme mencionado, a planilha também se aplica para a definição de detecção de chama, porém este sistema não será avaliado no presente trabalho. Sendo assim, </w:t>
      </w:r>
      <w:r w:rsidR="00E604F1">
        <w:t xml:space="preserve">os primeiros </w:t>
      </w:r>
      <w:r w:rsidR="00632190">
        <w:t>dados de entrada referentes aos cenários de risco</w:t>
      </w:r>
      <w:r w:rsidR="00E604F1">
        <w:t xml:space="preserve"> são oriundos da análise preliminar de risco (APR) tais como: d</w:t>
      </w:r>
      <w:r w:rsidRPr="00C538EB">
        <w:t>escrição</w:t>
      </w:r>
      <w:r>
        <w:t xml:space="preserve"> do sistema</w:t>
      </w:r>
      <w:r w:rsidR="00E604F1">
        <w:t xml:space="preserve">, perigo, causas e efeito, conforme apresentado na </w:t>
      </w:r>
      <w:r w:rsidR="00874417">
        <w:fldChar w:fldCharType="begin"/>
      </w:r>
      <w:r w:rsidR="00E74190">
        <w:instrText xml:space="preserve"> REF _Ref23091558 \h </w:instrText>
      </w:r>
      <w:r w:rsidR="00874417">
        <w:fldChar w:fldCharType="separate"/>
      </w:r>
      <w:r w:rsidR="007C2804">
        <w:t xml:space="preserve">Tabela </w:t>
      </w:r>
      <w:r w:rsidR="007C2804">
        <w:rPr>
          <w:noProof/>
        </w:rPr>
        <w:t>1</w:t>
      </w:r>
      <w:r w:rsidR="00874417">
        <w:fldChar w:fldCharType="end"/>
      </w:r>
      <w:r w:rsidR="00E74190">
        <w:t>.</w:t>
      </w:r>
    </w:p>
    <w:p w:rsidR="00E604F1" w:rsidRDefault="00E52FAB" w:rsidP="00E604F1">
      <w:pPr>
        <w:pStyle w:val="Figura"/>
        <w:keepNext/>
      </w:pPr>
      <w:r w:rsidRPr="00E52FAB">
        <w:drawing>
          <wp:inline distT="0" distB="0" distL="0" distR="0">
            <wp:extent cx="5746115" cy="1343085"/>
            <wp:effectExtent l="0" t="0" r="6985" b="952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3187" cy="1344738"/>
                    </a:xfrm>
                    <a:prstGeom prst="rect">
                      <a:avLst/>
                    </a:prstGeom>
                    <a:noFill/>
                    <a:ln>
                      <a:noFill/>
                    </a:ln>
                  </pic:spPr>
                </pic:pic>
              </a:graphicData>
            </a:graphic>
          </wp:inline>
        </w:drawing>
      </w:r>
    </w:p>
    <w:p w:rsidR="008B494F" w:rsidRDefault="00E604F1" w:rsidP="00E604F1">
      <w:pPr>
        <w:pStyle w:val="Legenda"/>
        <w:rPr>
          <w:rFonts w:ascii="Tms Rmn" w:hAnsi="Tms Rmn"/>
          <w:sz w:val="24"/>
          <w:szCs w:val="24"/>
        </w:rPr>
      </w:pPr>
      <w:bookmarkStart w:id="0" w:name="_Ref23091558"/>
      <w:r>
        <w:t xml:space="preserve">Tabela </w:t>
      </w:r>
      <w:r w:rsidR="00874417">
        <w:fldChar w:fldCharType="begin"/>
      </w:r>
      <w:r w:rsidR="00241257">
        <w:instrText xml:space="preserve"> SEQ Tabela \* ARABIC </w:instrText>
      </w:r>
      <w:r w:rsidR="00874417">
        <w:fldChar w:fldCharType="separate"/>
      </w:r>
      <w:r w:rsidR="007C2804">
        <w:rPr>
          <w:noProof/>
        </w:rPr>
        <w:t>1</w:t>
      </w:r>
      <w:r w:rsidR="00874417">
        <w:fldChar w:fldCharType="end"/>
      </w:r>
      <w:bookmarkEnd w:id="0"/>
      <w:r>
        <w:t xml:space="preserve">: </w:t>
      </w:r>
      <w:r w:rsidRPr="00E604F1">
        <w:rPr>
          <w:b w:val="0"/>
          <w:bCs w:val="0"/>
        </w:rPr>
        <w:t xml:space="preserve">Exemplo das informações oriundas da </w:t>
      </w:r>
      <w:r w:rsidRPr="00B023EE">
        <w:rPr>
          <w:b w:val="0"/>
          <w:bCs w:val="0"/>
        </w:rPr>
        <w:t>APR</w:t>
      </w:r>
      <w:sdt>
        <w:sdtPr>
          <w:rPr>
            <w:b w:val="0"/>
            <w:bCs w:val="0"/>
          </w:rPr>
          <w:id w:val="-1137176435"/>
          <w:citation/>
        </w:sdtPr>
        <w:sdtContent>
          <w:r w:rsidR="00874417" w:rsidRPr="00B023EE">
            <w:rPr>
              <w:b w:val="0"/>
              <w:bCs w:val="0"/>
            </w:rPr>
            <w:fldChar w:fldCharType="begin"/>
          </w:r>
          <w:r w:rsidR="00B023EE" w:rsidRPr="00B023EE">
            <w:rPr>
              <w:b w:val="0"/>
              <w:bCs w:val="0"/>
            </w:rPr>
            <w:instrText xml:space="preserve"> CITATION Pet \l 1046 </w:instrText>
          </w:r>
          <w:r w:rsidR="00874417" w:rsidRPr="00B023EE">
            <w:rPr>
              <w:b w:val="0"/>
              <w:bCs w:val="0"/>
            </w:rPr>
            <w:fldChar w:fldCharType="separate"/>
          </w:r>
          <w:r w:rsidR="00B023EE" w:rsidRPr="00B023EE">
            <w:rPr>
              <w:b w:val="0"/>
              <w:bCs w:val="0"/>
              <w:noProof/>
            </w:rPr>
            <w:t>[13]</w:t>
          </w:r>
          <w:r w:rsidR="00874417" w:rsidRPr="00B023EE">
            <w:rPr>
              <w:b w:val="0"/>
              <w:bCs w:val="0"/>
            </w:rPr>
            <w:fldChar w:fldCharType="end"/>
          </w:r>
        </w:sdtContent>
      </w:sdt>
      <w:r w:rsidRPr="00B023EE">
        <w:rPr>
          <w:b w:val="0"/>
          <w:bCs w:val="0"/>
        </w:rPr>
        <w:t>.</w:t>
      </w:r>
    </w:p>
    <w:p w:rsidR="00A564F6" w:rsidRDefault="00E74190" w:rsidP="00E74190">
      <w:r>
        <w:t xml:space="preserve">Os demais dados de entrada necessário para os cálculos da planilha </w:t>
      </w:r>
      <w:r w:rsidRPr="00B023EE">
        <w:t>são</w:t>
      </w:r>
      <w:sdt>
        <w:sdtPr>
          <w:id w:val="-1784497232"/>
          <w:citation/>
        </w:sdtPr>
        <w:sdtContent>
          <w:r w:rsidR="00874417" w:rsidRPr="00B023EE">
            <w:fldChar w:fldCharType="begin"/>
          </w:r>
          <w:r w:rsidR="00B023EE" w:rsidRPr="00B023EE">
            <w:instrText xml:space="preserve"> CITATION Pet \l 1046 </w:instrText>
          </w:r>
          <w:r w:rsidR="00874417" w:rsidRPr="00B023EE">
            <w:fldChar w:fldCharType="separate"/>
          </w:r>
          <w:r w:rsidR="00B023EE" w:rsidRPr="00B023EE">
            <w:rPr>
              <w:noProof/>
            </w:rPr>
            <w:t>[13]</w:t>
          </w:r>
          <w:r w:rsidR="00874417" w:rsidRPr="00B023EE">
            <w:fldChar w:fldCharType="end"/>
          </w:r>
        </w:sdtContent>
      </w:sdt>
      <w:r w:rsidRPr="00B023EE">
        <w:t>:</w:t>
      </w:r>
    </w:p>
    <w:p w:rsidR="00E74190" w:rsidRDefault="00E74190" w:rsidP="00E74190">
      <w:pPr>
        <w:pStyle w:val="Itens"/>
      </w:pPr>
      <w:r>
        <w:t>Cenários prováveis: informa os cenários definidos na APR como jato de fogo, incêndio, explosão, formação de nuvem tóxica ou inflamável;</w:t>
      </w:r>
    </w:p>
    <w:p w:rsidR="00E74190" w:rsidRDefault="00E74190" w:rsidP="00E74190">
      <w:pPr>
        <w:pStyle w:val="Itens"/>
      </w:pPr>
      <w:r w:rsidRPr="00E74190">
        <w:t>Enquadramento com alto potencial de incêndio</w:t>
      </w:r>
      <w:r>
        <w:t xml:space="preserve">: informa se o cenário escolhido apresenta alto potencial de incêndio como compressores operando com gás hidrogênio, equipamentos operando com hidrogênio acima de 500 </w:t>
      </w:r>
      <w:proofErr w:type="spellStart"/>
      <w:r w:rsidRPr="00E74190">
        <w:rPr>
          <w:vertAlign w:val="superscript"/>
        </w:rPr>
        <w:t>o</w:t>
      </w:r>
      <w:r>
        <w:t>C</w:t>
      </w:r>
      <w:proofErr w:type="spellEnd"/>
      <w:r>
        <w:t xml:space="preserve">, bomba operando com </w:t>
      </w:r>
      <w:proofErr w:type="spellStart"/>
      <w:r>
        <w:t>mtanol</w:t>
      </w:r>
      <w:proofErr w:type="spellEnd"/>
      <w:r>
        <w:t xml:space="preserve"> ou equipamento não enquadrado.</w:t>
      </w:r>
    </w:p>
    <w:p w:rsidR="00E74190" w:rsidRDefault="00E74190" w:rsidP="00E74190">
      <w:pPr>
        <w:pStyle w:val="Itens"/>
      </w:pPr>
      <w:r>
        <w:lastRenderedPageBreak/>
        <w:t xml:space="preserve">Tipo de sistema: Informa o sistema que está associado ao cenário, devendo ser selecionada como opção compressores alternativos, bombas, compressores centrífugos, trocadores/tubulações e válvulas em baterias de preaquecimento, cenários com exclusivamente equipamentos estáticos (exceto o </w:t>
      </w:r>
      <w:r w:rsidR="00241257">
        <w:t>anterior) cenários</w:t>
      </w:r>
      <w:r>
        <w:t xml:space="preserve"> com somente tubulações e acessórios</w:t>
      </w:r>
      <w:r w:rsidR="00241257">
        <w:t>;</w:t>
      </w:r>
    </w:p>
    <w:p w:rsidR="00E74190" w:rsidRDefault="00241257" w:rsidP="00E74190">
      <w:pPr>
        <w:pStyle w:val="Itens"/>
      </w:pPr>
      <w:r>
        <w:t>Equipamento ou fonte de vazamento: preenchido com o nome/TAG do equipamento;</w:t>
      </w:r>
    </w:p>
    <w:p w:rsidR="00241257" w:rsidRDefault="00241257" w:rsidP="00E74190">
      <w:pPr>
        <w:pStyle w:val="Itens"/>
      </w:pPr>
      <w:r>
        <w:t>Local do vazamento: definir se o ambiente do vazamento é considerado como aberto ou fechado;</w:t>
      </w:r>
    </w:p>
    <w:p w:rsidR="00241257" w:rsidRDefault="00241257" w:rsidP="00E74190">
      <w:pPr>
        <w:pStyle w:val="Itens"/>
      </w:pPr>
      <w:r>
        <w:t>Dados de processo: são informados a pressão, vazão e temperatura normal de operação, o tipo de produto inflamável, a substância tóxica vazada e a concentração estimada da mesma.</w:t>
      </w:r>
    </w:p>
    <w:p w:rsidR="00241257" w:rsidRDefault="00241257" w:rsidP="00241257">
      <w:pPr>
        <w:pStyle w:val="Itens"/>
        <w:numPr>
          <w:ilvl w:val="0"/>
          <w:numId w:val="0"/>
        </w:numPr>
        <w:ind w:left="993" w:hanging="426"/>
      </w:pPr>
    </w:p>
    <w:p w:rsidR="00241257" w:rsidRDefault="00241257" w:rsidP="00241257">
      <w:r>
        <w:t xml:space="preserve">Posteriormente é gerada uma planilha que informa a substância de referência baseada nas informações indicadas, tal como é apresentado na </w:t>
      </w:r>
      <w:r w:rsidR="00874417">
        <w:fldChar w:fldCharType="begin"/>
      </w:r>
      <w:r w:rsidR="00E343B9">
        <w:instrText xml:space="preserve"> REF _Ref23093375 \h </w:instrText>
      </w:r>
      <w:r w:rsidR="00874417">
        <w:fldChar w:fldCharType="separate"/>
      </w:r>
      <w:r w:rsidR="007C2804">
        <w:t xml:space="preserve">Tabela </w:t>
      </w:r>
      <w:r w:rsidR="007C2804">
        <w:rPr>
          <w:noProof/>
        </w:rPr>
        <w:t>2</w:t>
      </w:r>
      <w:r w:rsidR="00874417">
        <w:fldChar w:fldCharType="end"/>
      </w:r>
      <w:r w:rsidR="00E343B9">
        <w:t xml:space="preserve">, </w:t>
      </w:r>
      <w:r>
        <w:t xml:space="preserve">a título de exemplo. </w:t>
      </w:r>
    </w:p>
    <w:p w:rsidR="00241257" w:rsidRDefault="00241257" w:rsidP="0052123F">
      <w:pPr>
        <w:pStyle w:val="LegentaTabela"/>
      </w:pPr>
      <w:bookmarkStart w:id="1" w:name="_Ref23093375"/>
      <w:r>
        <w:t xml:space="preserve">Tabela </w:t>
      </w:r>
      <w:r w:rsidR="00874417">
        <w:fldChar w:fldCharType="begin"/>
      </w:r>
      <w:r>
        <w:instrText xml:space="preserve"> SEQ Tabela \* ARABIC </w:instrText>
      </w:r>
      <w:r w:rsidR="00874417">
        <w:fldChar w:fldCharType="separate"/>
      </w:r>
      <w:r w:rsidR="007C2804">
        <w:rPr>
          <w:noProof/>
        </w:rPr>
        <w:t>2</w:t>
      </w:r>
      <w:r w:rsidR="00874417">
        <w:fldChar w:fldCharType="end"/>
      </w:r>
      <w:bookmarkEnd w:id="1"/>
      <w:r>
        <w:t xml:space="preserve">: </w:t>
      </w:r>
      <w:r w:rsidR="008C23A3" w:rsidRPr="0052123F">
        <w:rPr>
          <w:b w:val="0"/>
          <w:bCs w:val="0"/>
        </w:rPr>
        <w:t xml:space="preserve">Dados gerados para a </w:t>
      </w:r>
      <w:r w:rsidR="00B023EE" w:rsidRPr="0052123F">
        <w:rPr>
          <w:b w:val="0"/>
          <w:bCs w:val="0"/>
        </w:rPr>
        <w:t>substância</w:t>
      </w:r>
      <w:r w:rsidR="008C23A3" w:rsidRPr="0052123F">
        <w:rPr>
          <w:b w:val="0"/>
          <w:bCs w:val="0"/>
        </w:rPr>
        <w:t xml:space="preserve"> inflamável de </w:t>
      </w:r>
      <w:r w:rsidR="00B023EE" w:rsidRPr="0052123F">
        <w:rPr>
          <w:b w:val="0"/>
          <w:bCs w:val="0"/>
        </w:rPr>
        <w:t xml:space="preserve">referência </w:t>
      </w:r>
      <w:sdt>
        <w:sdtPr>
          <w:rPr>
            <w:b w:val="0"/>
            <w:bCs w:val="0"/>
          </w:rPr>
          <w:id w:val="-1577504296"/>
          <w:citation/>
        </w:sdtPr>
        <w:sdtContent>
          <w:r w:rsidR="00874417" w:rsidRPr="0052123F">
            <w:rPr>
              <w:b w:val="0"/>
              <w:bCs w:val="0"/>
            </w:rPr>
            <w:fldChar w:fldCharType="begin"/>
          </w:r>
          <w:r w:rsidR="00B023EE" w:rsidRPr="0052123F">
            <w:rPr>
              <w:b w:val="0"/>
              <w:bCs w:val="0"/>
            </w:rPr>
            <w:instrText xml:space="preserve"> CITATION Pet \l 1046 </w:instrText>
          </w:r>
          <w:r w:rsidR="00874417" w:rsidRPr="0052123F">
            <w:rPr>
              <w:b w:val="0"/>
              <w:bCs w:val="0"/>
            </w:rPr>
            <w:fldChar w:fldCharType="separate"/>
          </w:r>
          <w:r w:rsidR="00B023EE" w:rsidRPr="0052123F">
            <w:rPr>
              <w:b w:val="0"/>
              <w:bCs w:val="0"/>
              <w:noProof/>
            </w:rPr>
            <w:t>[13]</w:t>
          </w:r>
          <w:r w:rsidR="00874417" w:rsidRPr="0052123F">
            <w:rPr>
              <w:b w:val="0"/>
              <w:bCs w:val="0"/>
            </w:rPr>
            <w:fldChar w:fldCharType="end"/>
          </w:r>
        </w:sdtContent>
      </w:sdt>
      <w:r w:rsidR="008C23A3" w:rsidRPr="0052123F">
        <w:rPr>
          <w:b w:val="0"/>
          <w:bCs w:val="0"/>
        </w:rPr>
        <w:t>.</w:t>
      </w:r>
    </w:p>
    <w:p w:rsidR="00241257" w:rsidRDefault="00241257" w:rsidP="00241257">
      <w:r w:rsidRPr="00241257">
        <w:rPr>
          <w:noProof/>
          <w:vertAlign w:val="subscript"/>
          <w:lang w:eastAsia="pt-BR"/>
        </w:rPr>
        <w:drawing>
          <wp:inline distT="0" distB="0" distL="0" distR="0">
            <wp:extent cx="5354320" cy="2044700"/>
            <wp:effectExtent l="19050" t="19050" r="17780" b="1270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823" t="112" b="63922"/>
                    <a:stretch/>
                  </pic:blipFill>
                  <pic:spPr bwMode="auto">
                    <a:xfrm>
                      <a:off x="0" y="0"/>
                      <a:ext cx="5354320" cy="2044700"/>
                    </a:xfrm>
                    <a:prstGeom prst="rect">
                      <a:avLst/>
                    </a:prstGeom>
                    <a:noFill/>
                    <a:ln w="635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sd="0">
                            <a:custGeom>
                              <a:avLst/>
                              <a:gdLst/>
                              <a:ahLst/>
                              <a:cxnLst/>
                              <a:rect l="0" t="0" r="0" b="0"/>
                              <a:pathLst/>
                            </a:custGeom>
                            <ask:type/>
                          </ask:lineSketchStyleProps>
                        </a:ext>
                      </a:extLst>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241257" w:rsidRDefault="00E343B9" w:rsidP="00241257">
      <w:r>
        <w:t xml:space="preserve">O diâmetro de furo adotado na planilha para todos os cenários considera vazamentos com furos de 10 mm. Além disso, como referência é adotada a frequência anual de falha de alguns equipamentos, conforme apresentada na </w:t>
      </w:r>
      <w:r w:rsidR="00874417">
        <w:fldChar w:fldCharType="begin"/>
      </w:r>
      <w:r w:rsidR="0052123F">
        <w:instrText xml:space="preserve"> REF _Ref23094115 \h </w:instrText>
      </w:r>
      <w:r w:rsidR="00874417">
        <w:fldChar w:fldCharType="separate"/>
      </w:r>
      <w:r w:rsidR="007C2804">
        <w:t xml:space="preserve">Tabela </w:t>
      </w:r>
      <w:r w:rsidR="007C2804">
        <w:rPr>
          <w:noProof/>
        </w:rPr>
        <w:t>3</w:t>
      </w:r>
      <w:r w:rsidR="00874417">
        <w:fldChar w:fldCharType="end"/>
      </w:r>
      <w:r>
        <w:t xml:space="preserve">. </w:t>
      </w:r>
    </w:p>
    <w:p w:rsidR="0052123F" w:rsidRPr="0052123F" w:rsidRDefault="0052123F" w:rsidP="0052123F">
      <w:pPr>
        <w:pStyle w:val="LegentaTabela"/>
        <w:rPr>
          <w:b w:val="0"/>
          <w:bCs w:val="0"/>
        </w:rPr>
      </w:pPr>
      <w:bookmarkStart w:id="2" w:name="_Ref23094115"/>
      <w:r>
        <w:t xml:space="preserve">Tabela </w:t>
      </w:r>
      <w:r w:rsidR="00874417">
        <w:fldChar w:fldCharType="begin"/>
      </w:r>
      <w:r>
        <w:instrText xml:space="preserve"> SEQ Tabela \* ARABIC </w:instrText>
      </w:r>
      <w:r w:rsidR="00874417">
        <w:fldChar w:fldCharType="separate"/>
      </w:r>
      <w:r w:rsidR="007C2804">
        <w:rPr>
          <w:noProof/>
        </w:rPr>
        <w:t>3</w:t>
      </w:r>
      <w:r w:rsidR="00874417">
        <w:fldChar w:fldCharType="end"/>
      </w:r>
      <w:bookmarkEnd w:id="2"/>
      <w:r>
        <w:t xml:space="preserve">: </w:t>
      </w:r>
      <w:r>
        <w:rPr>
          <w:b w:val="0"/>
          <w:bCs w:val="0"/>
        </w:rPr>
        <w:t xml:space="preserve">Frequência anual de falha para os equipamentos </w:t>
      </w:r>
      <w:sdt>
        <w:sdtPr>
          <w:rPr>
            <w:b w:val="0"/>
            <w:bCs w:val="0"/>
          </w:rPr>
          <w:id w:val="703753894"/>
          <w:citation/>
        </w:sdtPr>
        <w:sdtContent>
          <w:r w:rsidR="00874417" w:rsidRPr="0052123F">
            <w:rPr>
              <w:b w:val="0"/>
              <w:bCs w:val="0"/>
            </w:rPr>
            <w:fldChar w:fldCharType="begin"/>
          </w:r>
          <w:r w:rsidRPr="0052123F">
            <w:rPr>
              <w:b w:val="0"/>
              <w:bCs w:val="0"/>
            </w:rPr>
            <w:instrText xml:space="preserve"> CITATION Pet \l 1046 </w:instrText>
          </w:r>
          <w:r w:rsidR="00874417" w:rsidRPr="0052123F">
            <w:rPr>
              <w:b w:val="0"/>
              <w:bCs w:val="0"/>
            </w:rPr>
            <w:fldChar w:fldCharType="separate"/>
          </w:r>
          <w:r w:rsidRPr="0052123F">
            <w:rPr>
              <w:b w:val="0"/>
              <w:bCs w:val="0"/>
              <w:noProof/>
            </w:rPr>
            <w:t>[13]</w:t>
          </w:r>
          <w:r w:rsidR="00874417" w:rsidRPr="0052123F">
            <w:rPr>
              <w:b w:val="0"/>
              <w:bCs w:val="0"/>
            </w:rPr>
            <w:fldChar w:fldCharType="end"/>
          </w:r>
        </w:sdtContent>
      </w:sdt>
      <w:r>
        <w:rPr>
          <w:b w:val="0"/>
          <w:bCs w:val="0"/>
        </w:rPr>
        <w:t>.</w:t>
      </w:r>
    </w:p>
    <w:tbl>
      <w:tblPr>
        <w:tblW w:w="7943" w:type="dxa"/>
        <w:jc w:val="center"/>
        <w:tblCellMar>
          <w:left w:w="70" w:type="dxa"/>
          <w:right w:w="70" w:type="dxa"/>
        </w:tblCellMar>
        <w:tblLook w:val="04A0"/>
      </w:tblPr>
      <w:tblGrid>
        <w:gridCol w:w="6242"/>
        <w:gridCol w:w="1701"/>
      </w:tblGrid>
      <w:tr w:rsidR="00E343B9" w:rsidRPr="00E343B9" w:rsidTr="00E343B9">
        <w:trPr>
          <w:trHeight w:val="600"/>
          <w:jc w:val="center"/>
        </w:trPr>
        <w:tc>
          <w:tcPr>
            <w:tcW w:w="6242" w:type="dxa"/>
            <w:tcBorders>
              <w:top w:val="single" w:sz="12" w:space="0" w:color="auto"/>
              <w:bottom w:val="single" w:sz="12" w:space="0" w:color="auto"/>
            </w:tcBorders>
            <w:shd w:val="clear" w:color="000000" w:fill="FFFFFF"/>
            <w:vAlign w:val="center"/>
          </w:tcPr>
          <w:p w:rsidR="00E343B9" w:rsidRPr="00E343B9" w:rsidRDefault="00E343B9" w:rsidP="00E343B9">
            <w:pPr>
              <w:spacing w:after="0" w:line="240" w:lineRule="auto"/>
              <w:ind w:left="567" w:firstLine="0"/>
              <w:jc w:val="left"/>
              <w:rPr>
                <w:b/>
                <w:bCs/>
              </w:rPr>
            </w:pPr>
            <w:r w:rsidRPr="00E343B9">
              <w:rPr>
                <w:b/>
                <w:bCs/>
              </w:rPr>
              <w:t>Equipamento utilizado</w:t>
            </w:r>
          </w:p>
        </w:tc>
        <w:tc>
          <w:tcPr>
            <w:tcW w:w="1701" w:type="dxa"/>
            <w:tcBorders>
              <w:top w:val="single" w:sz="12" w:space="0" w:color="auto"/>
              <w:bottom w:val="single" w:sz="12" w:space="0" w:color="auto"/>
            </w:tcBorders>
            <w:shd w:val="clear" w:color="000000" w:fill="FFFFFF"/>
            <w:noWrap/>
            <w:vAlign w:val="center"/>
          </w:tcPr>
          <w:p w:rsidR="00E343B9" w:rsidRPr="00E343B9" w:rsidRDefault="00E343B9" w:rsidP="00E343B9">
            <w:pPr>
              <w:spacing w:after="0" w:line="240" w:lineRule="auto"/>
              <w:ind w:firstLine="0"/>
              <w:jc w:val="center"/>
              <w:rPr>
                <w:b/>
                <w:bCs/>
              </w:rPr>
            </w:pPr>
            <w:r w:rsidRPr="00E343B9">
              <w:rPr>
                <w:b/>
                <w:bCs/>
              </w:rPr>
              <w:t>Frequência anual de falha</w:t>
            </w:r>
          </w:p>
        </w:tc>
      </w:tr>
      <w:tr w:rsidR="00E343B9" w:rsidRPr="00E343B9" w:rsidTr="00E343B9">
        <w:trPr>
          <w:trHeight w:val="600"/>
          <w:jc w:val="center"/>
        </w:trPr>
        <w:tc>
          <w:tcPr>
            <w:tcW w:w="6242" w:type="dxa"/>
            <w:tcBorders>
              <w:top w:val="single" w:sz="12" w:space="0" w:color="auto"/>
            </w:tcBorders>
            <w:shd w:val="clear" w:color="000000" w:fill="FFFFFF"/>
            <w:vAlign w:val="center"/>
            <w:hideMark/>
          </w:tcPr>
          <w:p w:rsidR="00E343B9" w:rsidRPr="00E343B9" w:rsidRDefault="00E343B9" w:rsidP="00E343B9">
            <w:pPr>
              <w:spacing w:after="0" w:line="240" w:lineRule="auto"/>
              <w:ind w:left="567" w:firstLine="0"/>
              <w:jc w:val="left"/>
            </w:pPr>
            <w:r w:rsidRPr="00E343B9">
              <w:t xml:space="preserve">1 - Compressores Alternativos (ex: </w:t>
            </w:r>
            <w:proofErr w:type="spellStart"/>
            <w:r w:rsidRPr="00E343B9">
              <w:t>Make-up</w:t>
            </w:r>
            <w:proofErr w:type="spellEnd"/>
            <w:r w:rsidRPr="00E343B9">
              <w:t xml:space="preserve"> de HDT)</w:t>
            </w:r>
          </w:p>
        </w:tc>
        <w:tc>
          <w:tcPr>
            <w:tcW w:w="1701" w:type="dxa"/>
            <w:tcBorders>
              <w:top w:val="single" w:sz="12" w:space="0" w:color="auto"/>
            </w:tcBorders>
            <w:shd w:val="clear" w:color="000000" w:fill="FFFFFF"/>
            <w:noWrap/>
            <w:vAlign w:val="center"/>
            <w:hideMark/>
          </w:tcPr>
          <w:p w:rsidR="00E343B9" w:rsidRPr="00E343B9" w:rsidRDefault="00E343B9" w:rsidP="00E343B9">
            <w:pPr>
              <w:spacing w:after="0" w:line="240" w:lineRule="auto"/>
              <w:ind w:firstLine="0"/>
              <w:jc w:val="center"/>
            </w:pPr>
            <w:r w:rsidRPr="00E343B9">
              <w:t>2,00E-02</w:t>
            </w:r>
          </w:p>
        </w:tc>
      </w:tr>
      <w:tr w:rsidR="00E343B9" w:rsidRPr="00E343B9" w:rsidTr="00E343B9">
        <w:trPr>
          <w:trHeight w:val="600"/>
          <w:jc w:val="center"/>
        </w:trPr>
        <w:tc>
          <w:tcPr>
            <w:tcW w:w="6242" w:type="dxa"/>
            <w:shd w:val="clear" w:color="000000" w:fill="FFFFFF"/>
            <w:vAlign w:val="center"/>
            <w:hideMark/>
          </w:tcPr>
          <w:p w:rsidR="00E343B9" w:rsidRPr="00E343B9" w:rsidRDefault="00E343B9" w:rsidP="00E343B9">
            <w:pPr>
              <w:spacing w:after="0" w:line="240" w:lineRule="auto"/>
              <w:ind w:left="567" w:firstLine="0"/>
              <w:jc w:val="left"/>
            </w:pPr>
            <w:r w:rsidRPr="00E343B9">
              <w:t>2 - Bombas</w:t>
            </w:r>
          </w:p>
        </w:tc>
        <w:tc>
          <w:tcPr>
            <w:tcW w:w="1701" w:type="dxa"/>
            <w:shd w:val="clear" w:color="000000" w:fill="FFFFFF"/>
            <w:noWrap/>
            <w:vAlign w:val="center"/>
            <w:hideMark/>
          </w:tcPr>
          <w:p w:rsidR="00E343B9" w:rsidRPr="00E343B9" w:rsidRDefault="00E343B9" w:rsidP="00E343B9">
            <w:pPr>
              <w:spacing w:after="0" w:line="240" w:lineRule="auto"/>
              <w:ind w:firstLine="0"/>
              <w:jc w:val="center"/>
            </w:pPr>
            <w:r w:rsidRPr="00E343B9">
              <w:t>5,00E-03</w:t>
            </w:r>
          </w:p>
        </w:tc>
      </w:tr>
      <w:tr w:rsidR="00E343B9" w:rsidRPr="00E343B9" w:rsidTr="00E343B9">
        <w:trPr>
          <w:trHeight w:val="600"/>
          <w:jc w:val="center"/>
        </w:trPr>
        <w:tc>
          <w:tcPr>
            <w:tcW w:w="6242" w:type="dxa"/>
            <w:shd w:val="clear" w:color="000000" w:fill="FFFFFF"/>
            <w:vAlign w:val="center"/>
            <w:hideMark/>
          </w:tcPr>
          <w:p w:rsidR="00E343B9" w:rsidRPr="00E343B9" w:rsidRDefault="00E343B9" w:rsidP="00E343B9">
            <w:pPr>
              <w:spacing w:after="0" w:line="240" w:lineRule="auto"/>
              <w:ind w:left="567" w:firstLine="0"/>
              <w:jc w:val="left"/>
            </w:pPr>
            <w:r w:rsidRPr="00E343B9">
              <w:t>3 - Compressores Centrífugos (ex: Gás, Reciclo)</w:t>
            </w:r>
          </w:p>
        </w:tc>
        <w:tc>
          <w:tcPr>
            <w:tcW w:w="1701" w:type="dxa"/>
            <w:shd w:val="clear" w:color="000000" w:fill="FFFFFF"/>
            <w:noWrap/>
            <w:vAlign w:val="center"/>
            <w:hideMark/>
          </w:tcPr>
          <w:p w:rsidR="00E343B9" w:rsidRPr="00E343B9" w:rsidRDefault="00E343B9" w:rsidP="00E343B9">
            <w:pPr>
              <w:spacing w:after="0" w:line="240" w:lineRule="auto"/>
              <w:ind w:firstLine="0"/>
              <w:jc w:val="center"/>
            </w:pPr>
            <w:r w:rsidRPr="00E343B9">
              <w:t>2,50E-03</w:t>
            </w:r>
          </w:p>
        </w:tc>
      </w:tr>
      <w:tr w:rsidR="00E343B9" w:rsidRPr="00E343B9" w:rsidTr="00E343B9">
        <w:trPr>
          <w:trHeight w:val="600"/>
          <w:jc w:val="center"/>
        </w:trPr>
        <w:tc>
          <w:tcPr>
            <w:tcW w:w="6242" w:type="dxa"/>
            <w:shd w:val="clear" w:color="000000" w:fill="FFFFFF"/>
            <w:vAlign w:val="center"/>
            <w:hideMark/>
          </w:tcPr>
          <w:p w:rsidR="00E343B9" w:rsidRPr="00E343B9" w:rsidRDefault="00E343B9" w:rsidP="00E343B9">
            <w:pPr>
              <w:spacing w:after="0" w:line="240" w:lineRule="auto"/>
              <w:ind w:left="567" w:firstLine="0"/>
              <w:jc w:val="left"/>
            </w:pPr>
            <w:r w:rsidRPr="00E343B9">
              <w:t>4 - Trocadores/Tubulações e Válvulas em Baterias de Preaquecimento</w:t>
            </w:r>
          </w:p>
        </w:tc>
        <w:tc>
          <w:tcPr>
            <w:tcW w:w="1701" w:type="dxa"/>
            <w:shd w:val="clear" w:color="000000" w:fill="FFFFFF"/>
            <w:noWrap/>
            <w:vAlign w:val="center"/>
            <w:hideMark/>
          </w:tcPr>
          <w:p w:rsidR="00E343B9" w:rsidRPr="00E343B9" w:rsidRDefault="00E343B9" w:rsidP="00E343B9">
            <w:pPr>
              <w:spacing w:after="0" w:line="240" w:lineRule="auto"/>
              <w:ind w:firstLine="0"/>
              <w:jc w:val="center"/>
            </w:pPr>
            <w:r w:rsidRPr="00E343B9">
              <w:t>2,00E-03</w:t>
            </w:r>
          </w:p>
        </w:tc>
      </w:tr>
      <w:tr w:rsidR="00E343B9" w:rsidRPr="00E343B9" w:rsidTr="00E343B9">
        <w:trPr>
          <w:trHeight w:val="600"/>
          <w:jc w:val="center"/>
        </w:trPr>
        <w:tc>
          <w:tcPr>
            <w:tcW w:w="6242" w:type="dxa"/>
            <w:shd w:val="clear" w:color="000000" w:fill="FFFFFF"/>
            <w:vAlign w:val="center"/>
            <w:hideMark/>
          </w:tcPr>
          <w:p w:rsidR="00E343B9" w:rsidRPr="00E343B9" w:rsidRDefault="00E343B9" w:rsidP="00E343B9">
            <w:pPr>
              <w:spacing w:after="0" w:line="240" w:lineRule="auto"/>
              <w:ind w:left="567" w:firstLine="0"/>
              <w:jc w:val="left"/>
            </w:pPr>
            <w:r w:rsidRPr="00E343B9">
              <w:t>5 - Cenários com exclusivamente equipamentos estáticos, exceto (4)</w:t>
            </w:r>
          </w:p>
        </w:tc>
        <w:tc>
          <w:tcPr>
            <w:tcW w:w="1701" w:type="dxa"/>
            <w:shd w:val="clear" w:color="000000" w:fill="FFFFFF"/>
            <w:noWrap/>
            <w:vAlign w:val="center"/>
            <w:hideMark/>
          </w:tcPr>
          <w:p w:rsidR="00E343B9" w:rsidRPr="00E343B9" w:rsidRDefault="00E343B9" w:rsidP="00E343B9">
            <w:pPr>
              <w:spacing w:after="0" w:line="240" w:lineRule="auto"/>
              <w:ind w:firstLine="0"/>
              <w:jc w:val="center"/>
            </w:pPr>
            <w:r w:rsidRPr="00E343B9">
              <w:t>1,00E-03</w:t>
            </w:r>
          </w:p>
        </w:tc>
      </w:tr>
      <w:tr w:rsidR="00E343B9" w:rsidRPr="00E343B9" w:rsidTr="00E343B9">
        <w:trPr>
          <w:trHeight w:val="600"/>
          <w:jc w:val="center"/>
        </w:trPr>
        <w:tc>
          <w:tcPr>
            <w:tcW w:w="6242" w:type="dxa"/>
            <w:tcBorders>
              <w:bottom w:val="single" w:sz="12" w:space="0" w:color="auto"/>
            </w:tcBorders>
            <w:shd w:val="clear" w:color="000000" w:fill="FFFFFF"/>
            <w:vAlign w:val="center"/>
            <w:hideMark/>
          </w:tcPr>
          <w:p w:rsidR="00E343B9" w:rsidRPr="00E343B9" w:rsidRDefault="00E343B9" w:rsidP="00E343B9">
            <w:pPr>
              <w:spacing w:after="0" w:line="240" w:lineRule="auto"/>
              <w:ind w:left="567" w:firstLine="0"/>
              <w:jc w:val="left"/>
            </w:pPr>
            <w:r w:rsidRPr="00E343B9">
              <w:t>6 - Cenários com somente Tubulações e acessórios</w:t>
            </w:r>
          </w:p>
        </w:tc>
        <w:tc>
          <w:tcPr>
            <w:tcW w:w="1701" w:type="dxa"/>
            <w:tcBorders>
              <w:bottom w:val="single" w:sz="12" w:space="0" w:color="auto"/>
            </w:tcBorders>
            <w:shd w:val="clear" w:color="000000" w:fill="FFFFFF"/>
            <w:noWrap/>
            <w:vAlign w:val="center"/>
            <w:hideMark/>
          </w:tcPr>
          <w:p w:rsidR="00E343B9" w:rsidRPr="00E343B9" w:rsidRDefault="00E343B9" w:rsidP="00E343B9">
            <w:pPr>
              <w:spacing w:after="0" w:line="240" w:lineRule="auto"/>
              <w:ind w:firstLine="0"/>
              <w:jc w:val="center"/>
            </w:pPr>
            <w:r w:rsidRPr="00E343B9">
              <w:t>3,33E-04</w:t>
            </w:r>
          </w:p>
        </w:tc>
      </w:tr>
    </w:tbl>
    <w:p w:rsidR="00E343B9" w:rsidRDefault="00E343B9" w:rsidP="00241257"/>
    <w:p w:rsidR="00E45BEB" w:rsidRDefault="00DF54CF" w:rsidP="00241257">
      <w:r>
        <w:t xml:space="preserve">A planilha ainda utiliza várias correlações para determinar a probabilidade de ignição de incêndio e explosão. Entretanto, como o presente estudo tem como objetivo comparar os resultados da determinação da posição e quantidade de detectores baseado na dispersão de gases, essa etapa não será abordada. </w:t>
      </w:r>
    </w:p>
    <w:p w:rsidR="00DF54CF" w:rsidRDefault="00DF54CF" w:rsidP="00241257">
      <w:r>
        <w:lastRenderedPageBreak/>
        <w:t xml:space="preserve">Sendo assim, para determinar o alcance da pluma em </w:t>
      </w:r>
      <w:sdt>
        <w:sdtPr>
          <w:id w:val="754788821"/>
          <w:citation/>
        </w:sdtPr>
        <w:sdtContent>
          <w:r w:rsidR="00874417" w:rsidRPr="00DF54CF">
            <w:fldChar w:fldCharType="begin"/>
          </w:r>
          <w:r w:rsidRPr="00DF54CF">
            <w:instrText xml:space="preserve"> CITATION Pet \l 1046 </w:instrText>
          </w:r>
          <w:r w:rsidR="00874417" w:rsidRPr="00DF54CF">
            <w:fldChar w:fldCharType="separate"/>
          </w:r>
          <w:r w:rsidRPr="00DF54CF">
            <w:rPr>
              <w:noProof/>
            </w:rPr>
            <w:t>[13]</w:t>
          </w:r>
          <w:r w:rsidR="00874417" w:rsidRPr="00DF54CF">
            <w:fldChar w:fldCharType="end"/>
          </w:r>
        </w:sdtContent>
      </w:sdt>
      <w:r>
        <w:t xml:space="preserve"> são definidas </w:t>
      </w:r>
      <w:r w:rsidR="00EC4F80">
        <w:t>a vazão</w:t>
      </w:r>
      <w:r w:rsidR="001C6ED7">
        <w:t xml:space="preserve"> crítica (</w:t>
      </w:r>
      <m:oMath>
        <m:sSub>
          <m:sSubPr>
            <m:ctrlPr>
              <w:rPr>
                <w:rFonts w:ascii="Cambria Math" w:hAnsi="Cambria Math"/>
                <w:i/>
              </w:rPr>
            </m:ctrlPr>
          </m:sSubPr>
          <m:e>
            <m:r>
              <w:rPr>
                <w:rFonts w:ascii="Cambria Math" w:hAnsi="Cambria Math"/>
              </w:rPr>
              <m:t>W</m:t>
            </m:r>
          </m:e>
          <m:sub>
            <m:r>
              <w:rPr>
                <w:rFonts w:ascii="Cambria Math" w:hAnsi="Cambria Math"/>
              </w:rPr>
              <m:t>crítica</m:t>
            </m:r>
          </m:sub>
        </m:sSub>
        <m:r>
          <w:rPr>
            <w:rFonts w:ascii="Cambria Math" w:hAnsi="Cambria Math"/>
          </w:rPr>
          <m:t xml:space="preserve">) </m:t>
        </m:r>
      </m:oMath>
      <w:r w:rsidR="001C6ED7">
        <w:t>para</w:t>
      </w:r>
      <w:proofErr w:type="gramStart"/>
      <w:r w:rsidR="00EC4F80">
        <w:t xml:space="preserve">  </w:t>
      </w:r>
      <w:proofErr w:type="gramEnd"/>
      <w:r w:rsidR="00EC4F80">
        <w:t xml:space="preserve">regime sônico de vazamento na </w:t>
      </w:r>
      <w:r w:rsidR="001C6ED7">
        <w:t>Equação</w:t>
      </w:r>
      <w:r w:rsidR="00874417">
        <w:fldChar w:fldCharType="begin"/>
      </w:r>
      <w:r w:rsidR="001C6ED7">
        <w:instrText xml:space="preserve"> REF _Ref23096063 \h </w:instrText>
      </w:r>
      <w:r w:rsidR="00874417">
        <w:fldChar w:fldCharType="separate"/>
      </w:r>
      <w:r w:rsidR="007C2804">
        <w:t>(</w:t>
      </w:r>
      <w:r w:rsidR="007C2804">
        <w:rPr>
          <w:noProof/>
        </w:rPr>
        <w:t>2</w:t>
      </w:r>
      <w:r w:rsidR="007C2804">
        <w:t>)</w:t>
      </w:r>
      <w:r w:rsidR="00874417">
        <w:fldChar w:fldCharType="end"/>
      </w:r>
      <w:r w:rsidR="001C6ED7">
        <w:t xml:space="preserve">, que será alcançada quando a pressão interna do equipamento for superior a pressão crítica, definida na Equação </w:t>
      </w:r>
      <w:r w:rsidR="00874417">
        <w:fldChar w:fldCharType="begin"/>
      </w:r>
      <w:r w:rsidR="001C6ED7">
        <w:instrText xml:space="preserve"> REF _Ref23096124 \h </w:instrText>
      </w:r>
      <w:r w:rsidR="00874417">
        <w:fldChar w:fldCharType="separate"/>
      </w:r>
      <w:r w:rsidR="007C2804">
        <w:t>(</w:t>
      </w:r>
      <w:r w:rsidR="007C2804">
        <w:rPr>
          <w:noProof/>
        </w:rPr>
        <w:t>1</w:t>
      </w:r>
      <w:r w:rsidR="007C2804">
        <w:t>)</w:t>
      </w:r>
      <w:r w:rsidR="00874417">
        <w:fldChar w:fldCharType="end"/>
      </w:r>
      <w:r w:rsidR="00EC4F80">
        <w:t xml:space="preserve"> e para condição subcrítica a </w:t>
      </w:r>
      <w:r w:rsidR="001C6ED7">
        <w:t xml:space="preserve">vazão subsônica é definida pela </w:t>
      </w:r>
      <w:r w:rsidR="00EB4F73">
        <w:t xml:space="preserve">Equação </w:t>
      </w:r>
    </w:p>
    <w:p w:rsidR="00EC4F80" w:rsidRDefault="00EC4F80" w:rsidP="00EC4F80">
      <w:pPr>
        <w:pStyle w:val="Legenda"/>
        <w:keepNext/>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gridCol w:w="1554"/>
      </w:tblGrid>
      <w:tr w:rsidR="00EC4F80" w:rsidTr="00EC4F80">
        <w:tc>
          <w:tcPr>
            <w:tcW w:w="8075" w:type="dxa"/>
            <w:vAlign w:val="center"/>
          </w:tcPr>
          <w:p w:rsidR="00EC4F80" w:rsidRDefault="00874417" w:rsidP="00EC4F80">
            <w:pPr>
              <w:jc w:val="center"/>
            </w:pPr>
            <m:oMathPara>
              <m:oMath>
                <m:sSub>
                  <m:sSubPr>
                    <m:ctrlPr>
                      <w:rPr>
                        <w:rFonts w:ascii="Cambria Math" w:hAnsi="Cambria Math"/>
                        <w:i/>
                      </w:rPr>
                    </m:ctrlPr>
                  </m:sSubPr>
                  <m:e>
                    <m:r>
                      <w:rPr>
                        <w:rFonts w:ascii="Cambria Math" w:hAnsi="Cambria Math"/>
                      </w:rPr>
                      <m:t>P</m:t>
                    </m:r>
                  </m:e>
                  <m:sub>
                    <m:r>
                      <w:rPr>
                        <w:rFonts w:ascii="Cambria Math" w:hAnsi="Cambria Math"/>
                      </w:rPr>
                      <m:t>crítica</m:t>
                    </m:r>
                  </m:sub>
                </m:sSub>
                <m:r>
                  <w:rPr>
                    <w:rFonts w:ascii="Cambria Math" w:hAnsi="Cambria Math"/>
                  </w:rPr>
                  <m:t xml:space="preserve">= </m:t>
                </m:r>
                <m:sSub>
                  <m:sSubPr>
                    <m:ctrlPr>
                      <w:rPr>
                        <w:rFonts w:ascii="Cambria Math" w:hAnsi="Cambria Math"/>
                        <w:i/>
                      </w:rPr>
                    </m:ctrlPr>
                  </m:sSubPr>
                  <m:e>
                    <m:r>
                      <w:rPr>
                        <w:rFonts w:ascii="Cambria Math" w:hAnsi="Cambria Math"/>
                      </w:rPr>
                      <m:t>P</m:t>
                    </m:r>
                  </m:e>
                  <m:sub>
                    <m:r>
                      <w:rPr>
                        <w:rFonts w:ascii="Cambria Math" w:hAnsi="Cambria Math"/>
                      </w:rPr>
                      <m:t>atm</m:t>
                    </m:r>
                  </m:sub>
                </m:sSub>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γ+1</m:t>
                            </m:r>
                          </m:num>
                          <m:den>
                            <m:r>
                              <w:rPr>
                                <w:rFonts w:ascii="Cambria Math" w:hAnsi="Cambria Math"/>
                              </w:rPr>
                              <m:t>2</m:t>
                            </m:r>
                          </m:den>
                        </m:f>
                      </m:e>
                    </m:d>
                  </m:e>
                  <m:sup>
                    <m:f>
                      <m:fPr>
                        <m:ctrlPr>
                          <w:rPr>
                            <w:rFonts w:ascii="Cambria Math" w:hAnsi="Cambria Math"/>
                            <w:i/>
                          </w:rPr>
                        </m:ctrlPr>
                      </m:fPr>
                      <m:num>
                        <m:r>
                          <w:rPr>
                            <w:rFonts w:ascii="Cambria Math" w:hAnsi="Cambria Math"/>
                          </w:rPr>
                          <m:t>γ</m:t>
                        </m:r>
                      </m:num>
                      <m:den>
                        <m:r>
                          <w:rPr>
                            <w:rFonts w:ascii="Cambria Math" w:hAnsi="Cambria Math"/>
                          </w:rPr>
                          <m:t>γ-1</m:t>
                        </m:r>
                      </m:den>
                    </m:f>
                  </m:sup>
                </m:sSup>
              </m:oMath>
            </m:oMathPara>
          </w:p>
          <w:p w:rsidR="00EC4F80" w:rsidRDefault="00EC4F80" w:rsidP="00EC4F80">
            <w:pPr>
              <w:ind w:firstLine="0"/>
              <w:jc w:val="center"/>
            </w:pPr>
          </w:p>
        </w:tc>
        <w:tc>
          <w:tcPr>
            <w:tcW w:w="1554" w:type="dxa"/>
            <w:vAlign w:val="center"/>
          </w:tcPr>
          <w:p w:rsidR="00EC4F80" w:rsidRDefault="00EC4F80" w:rsidP="00EC4F80">
            <w:pPr>
              <w:ind w:firstLine="0"/>
              <w:jc w:val="center"/>
            </w:pPr>
            <w:bookmarkStart w:id="3" w:name="_Ref23096124"/>
            <w:r>
              <w:t>(</w:t>
            </w:r>
            <w:r w:rsidR="00874417">
              <w:fldChar w:fldCharType="begin"/>
            </w:r>
            <w:r>
              <w:instrText xml:space="preserve"> SEQ Equação \* ARABIC </w:instrText>
            </w:r>
            <w:r w:rsidR="00874417">
              <w:fldChar w:fldCharType="separate"/>
            </w:r>
            <w:r w:rsidR="007C2804">
              <w:rPr>
                <w:noProof/>
              </w:rPr>
              <w:t>1</w:t>
            </w:r>
            <w:r w:rsidR="00874417">
              <w:fldChar w:fldCharType="end"/>
            </w:r>
            <w:r>
              <w:t>)</w:t>
            </w:r>
            <w:bookmarkEnd w:id="3"/>
          </w:p>
        </w:tc>
      </w:tr>
    </w:tbl>
    <w:p w:rsidR="00EC4F80" w:rsidRDefault="00EC4F80" w:rsidP="00241257">
      <w:r>
        <w:t xml:space="preserve">onde </w:t>
      </w:r>
      <m:oMath>
        <m:sSub>
          <m:sSubPr>
            <m:ctrlPr>
              <w:rPr>
                <w:rFonts w:ascii="Cambria Math" w:hAnsi="Cambria Math"/>
                <w:i/>
              </w:rPr>
            </m:ctrlPr>
          </m:sSubPr>
          <m:e>
            <m:r>
              <w:rPr>
                <w:rFonts w:ascii="Cambria Math" w:hAnsi="Cambria Math"/>
              </w:rPr>
              <m:t>P</m:t>
            </m:r>
          </m:e>
          <m:sub>
            <m:r>
              <w:rPr>
                <w:rFonts w:ascii="Cambria Math" w:hAnsi="Cambria Math"/>
              </w:rPr>
              <m:t>crítica</m:t>
            </m:r>
          </m:sub>
        </m:sSub>
      </m:oMath>
      <w:r w:rsidR="00E45BEB">
        <w:t xml:space="preserve">é a pressão crítica, </w:t>
      </w:r>
      <m:oMath>
        <m:r>
          <w:rPr>
            <w:rFonts w:ascii="Cambria Math" w:hAnsi="Cambria Math"/>
          </w:rPr>
          <m:t>γ</m:t>
        </m:r>
      </m:oMath>
      <w:r w:rsidR="00E45BEB">
        <w:t xml:space="preserve"> é a relação de calor específica</w:t>
      </w:r>
      <w:r w:rsidR="001C6ED7">
        <w:t xml:space="preserve"> e </w:t>
      </w:r>
      <m:oMath>
        <m:sSub>
          <m:sSubPr>
            <m:ctrlPr>
              <w:rPr>
                <w:rFonts w:ascii="Cambria Math" w:hAnsi="Cambria Math"/>
                <w:i/>
              </w:rPr>
            </m:ctrlPr>
          </m:sSubPr>
          <m:e>
            <m:r>
              <w:rPr>
                <w:rFonts w:ascii="Cambria Math" w:hAnsi="Cambria Math"/>
              </w:rPr>
              <m:t>P</m:t>
            </m:r>
          </m:e>
          <m:sub>
            <m:r>
              <w:rPr>
                <w:rFonts w:ascii="Cambria Math" w:hAnsi="Cambria Math"/>
              </w:rPr>
              <m:t>atm</m:t>
            </m:r>
          </m:sub>
        </m:sSub>
      </m:oMath>
      <w:r w:rsidR="001C6ED7">
        <w:t xml:space="preserve"> é a pressão atmosférica</w:t>
      </w:r>
    </w:p>
    <w:p w:rsidR="00E45BEB" w:rsidRDefault="00E45BEB" w:rsidP="00241257"/>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gridCol w:w="1554"/>
      </w:tblGrid>
      <w:tr w:rsidR="00E45BEB" w:rsidTr="007A2896">
        <w:tc>
          <w:tcPr>
            <w:tcW w:w="8075" w:type="dxa"/>
            <w:vAlign w:val="center"/>
          </w:tcPr>
          <w:p w:rsidR="00E45BEB" w:rsidRDefault="00874417" w:rsidP="007A2896">
            <w:pPr>
              <w:jc w:val="center"/>
            </w:pPr>
            <m:oMathPara>
              <m:oMath>
                <m:sSub>
                  <m:sSubPr>
                    <m:ctrlPr>
                      <w:rPr>
                        <w:rFonts w:ascii="Cambria Math" w:hAnsi="Cambria Math"/>
                        <w:i/>
                      </w:rPr>
                    </m:ctrlPr>
                  </m:sSubPr>
                  <m:e>
                    <m:r>
                      <w:rPr>
                        <w:rFonts w:ascii="Cambria Math" w:hAnsi="Cambria Math"/>
                      </w:rPr>
                      <m:t>W</m:t>
                    </m:r>
                  </m:e>
                  <m:sub>
                    <m:r>
                      <w:rPr>
                        <w:rFonts w:ascii="Cambria Math" w:hAnsi="Cambria Math"/>
                      </w:rPr>
                      <m:t>crítica</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d</m:t>
                        </m:r>
                      </m:sub>
                    </m:sSub>
                  </m:num>
                  <m:den>
                    <m:sSub>
                      <m:sSubPr>
                        <m:ctrlPr>
                          <w:rPr>
                            <w:rFonts w:ascii="Cambria Math" w:hAnsi="Cambria Math"/>
                            <w:i/>
                          </w:rPr>
                        </m:ctrlPr>
                      </m:sSubPr>
                      <m:e>
                        <m:r>
                          <w:rPr>
                            <w:rFonts w:ascii="Cambria Math" w:hAnsi="Cambria Math"/>
                          </w:rPr>
                          <m:t>C</m:t>
                        </m:r>
                      </m:e>
                      <m:sub>
                        <m:r>
                          <w:rPr>
                            <w:rFonts w:ascii="Cambria Math" w:hAnsi="Cambria Math"/>
                          </w:rPr>
                          <m:t>2</m:t>
                        </m:r>
                      </m:sub>
                    </m:sSub>
                  </m:den>
                </m:f>
                <m:sSub>
                  <m:sSubPr>
                    <m:ctrlPr>
                      <w:rPr>
                        <w:rFonts w:ascii="Cambria Math" w:hAnsi="Cambria Math"/>
                        <w:i/>
                      </w:rPr>
                    </m:ctrlPr>
                  </m:sSubPr>
                  <m:e>
                    <m:r>
                      <w:rPr>
                        <w:rFonts w:ascii="Cambria Math" w:hAnsi="Cambria Math"/>
                      </w:rPr>
                      <m:t>A</m:t>
                    </m:r>
                  </m:e>
                  <m:sub>
                    <m:r>
                      <w:rPr>
                        <w:rFonts w:ascii="Cambria Math" w:hAnsi="Cambria Math"/>
                      </w:rPr>
                      <m:t>n</m:t>
                    </m:r>
                  </m:sub>
                </m:sSub>
                <m:sSub>
                  <m:sSubPr>
                    <m:ctrlPr>
                      <w:rPr>
                        <w:rFonts w:ascii="Cambria Math" w:hAnsi="Cambria Math"/>
                        <w:i/>
                      </w:rPr>
                    </m:ctrlPr>
                  </m:sSubPr>
                  <m:e>
                    <m:r>
                      <w:rPr>
                        <w:rFonts w:ascii="Cambria Math" w:hAnsi="Cambria Math"/>
                      </w:rPr>
                      <m:t>P</m:t>
                    </m:r>
                  </m:e>
                  <m:sub>
                    <m:r>
                      <w:rPr>
                        <w:rFonts w:ascii="Cambria Math" w:hAnsi="Cambria Math"/>
                      </w:rPr>
                      <m:t>s</m:t>
                    </m:r>
                  </m:sub>
                </m:sSub>
                <m:rad>
                  <m:radPr>
                    <m:degHide m:val="on"/>
                    <m:ctrlPr>
                      <w:rPr>
                        <w:rFonts w:ascii="Cambria Math" w:hAnsi="Cambria Math"/>
                        <w:i/>
                      </w:rPr>
                    </m:ctrlPr>
                  </m:radPr>
                  <m:deg/>
                  <m:e>
                    <m:f>
                      <m:fPr>
                        <m:ctrlPr>
                          <w:rPr>
                            <w:rFonts w:ascii="Cambria Math" w:hAnsi="Cambria Math"/>
                            <w:i/>
                          </w:rPr>
                        </m:ctrlPr>
                      </m:fPr>
                      <m:num>
                        <m:r>
                          <w:rPr>
                            <w:rFonts w:ascii="Cambria Math" w:hAnsi="Cambria Math"/>
                          </w:rPr>
                          <m:t xml:space="preserve">γ MW </m:t>
                        </m:r>
                        <m:sSub>
                          <m:sSubPr>
                            <m:ctrlPr>
                              <w:rPr>
                                <w:rFonts w:ascii="Cambria Math" w:hAnsi="Cambria Math"/>
                                <w:i/>
                              </w:rPr>
                            </m:ctrlPr>
                          </m:sSubPr>
                          <m:e>
                            <m:r>
                              <w:rPr>
                                <w:rFonts w:ascii="Cambria Math" w:hAnsi="Cambria Math"/>
                              </w:rPr>
                              <m:t>g</m:t>
                            </m:r>
                          </m:e>
                          <m:sub>
                            <m:r>
                              <w:rPr>
                                <w:rFonts w:ascii="Cambria Math" w:hAnsi="Cambria Math"/>
                              </w:rPr>
                              <m:t>c</m:t>
                            </m:r>
                          </m:sub>
                        </m:sSub>
                      </m:num>
                      <m:den>
                        <m:r>
                          <w:rPr>
                            <w:rFonts w:ascii="Cambria Math" w:hAnsi="Cambria Math"/>
                          </w:rPr>
                          <m:t xml:space="preserve">R </m:t>
                        </m:r>
                        <m:sSub>
                          <m:sSubPr>
                            <m:ctrlPr>
                              <w:rPr>
                                <w:rFonts w:ascii="Cambria Math" w:hAnsi="Cambria Math"/>
                                <w:i/>
                              </w:rPr>
                            </m:ctrlPr>
                          </m:sSubPr>
                          <m:e>
                            <m:r>
                              <w:rPr>
                                <w:rFonts w:ascii="Cambria Math" w:hAnsi="Cambria Math"/>
                              </w:rPr>
                              <m:t>T</m:t>
                            </m:r>
                          </m:e>
                          <m:sub>
                            <m:r>
                              <w:rPr>
                                <w:rFonts w:ascii="Cambria Math" w:hAnsi="Cambria Math"/>
                              </w:rPr>
                              <m:t>s</m:t>
                            </m:r>
                          </m:sub>
                        </m:sSub>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2</m:t>
                                </m:r>
                              </m:num>
                              <m:den>
                                <m:r>
                                  <w:rPr>
                                    <w:rFonts w:ascii="Cambria Math" w:hAnsi="Cambria Math"/>
                                  </w:rPr>
                                  <m:t>γ+1</m:t>
                                </m:r>
                              </m:den>
                            </m:f>
                          </m:e>
                        </m:d>
                      </m:e>
                      <m:sup>
                        <m:f>
                          <m:fPr>
                            <m:ctrlPr>
                              <w:rPr>
                                <w:rFonts w:ascii="Cambria Math" w:hAnsi="Cambria Math"/>
                                <w:i/>
                              </w:rPr>
                            </m:ctrlPr>
                          </m:fPr>
                          <m:num>
                            <m:r>
                              <w:rPr>
                                <w:rFonts w:ascii="Cambria Math" w:hAnsi="Cambria Math"/>
                              </w:rPr>
                              <m:t>γ+1</m:t>
                            </m:r>
                          </m:num>
                          <m:den>
                            <m:r>
                              <w:rPr>
                                <w:rFonts w:ascii="Cambria Math" w:hAnsi="Cambria Math"/>
                              </w:rPr>
                              <m:t>γ-1</m:t>
                            </m:r>
                          </m:den>
                        </m:f>
                      </m:sup>
                    </m:sSup>
                  </m:e>
                </m:rad>
              </m:oMath>
            </m:oMathPara>
          </w:p>
          <w:p w:rsidR="00E45BEB" w:rsidRDefault="00E45BEB" w:rsidP="007A2896">
            <w:pPr>
              <w:ind w:firstLine="0"/>
              <w:jc w:val="center"/>
            </w:pPr>
          </w:p>
        </w:tc>
        <w:tc>
          <w:tcPr>
            <w:tcW w:w="1554" w:type="dxa"/>
            <w:vAlign w:val="center"/>
          </w:tcPr>
          <w:p w:rsidR="00E45BEB" w:rsidRDefault="00E45BEB" w:rsidP="007A2896">
            <w:pPr>
              <w:ind w:firstLine="0"/>
              <w:jc w:val="center"/>
            </w:pPr>
            <w:bookmarkStart w:id="4" w:name="_Ref23096063"/>
            <w:r>
              <w:t>(</w:t>
            </w:r>
            <w:r w:rsidR="00874417">
              <w:fldChar w:fldCharType="begin"/>
            </w:r>
            <w:r>
              <w:instrText xml:space="preserve"> SEQ Equação \* ARABIC </w:instrText>
            </w:r>
            <w:r w:rsidR="00874417">
              <w:fldChar w:fldCharType="separate"/>
            </w:r>
            <w:r w:rsidR="007C2804">
              <w:rPr>
                <w:noProof/>
              </w:rPr>
              <w:t>2</w:t>
            </w:r>
            <w:r w:rsidR="00874417">
              <w:fldChar w:fldCharType="end"/>
            </w:r>
            <w:r>
              <w:t>)</w:t>
            </w:r>
            <w:bookmarkEnd w:id="4"/>
          </w:p>
        </w:tc>
      </w:tr>
    </w:tbl>
    <w:p w:rsidR="00E45BEB" w:rsidRDefault="00E45BEB" w:rsidP="00241257">
      <w:r>
        <w:t>Onde</w:t>
      </w:r>
      <m:oMath>
        <m:sSub>
          <m:sSubPr>
            <m:ctrlPr>
              <w:rPr>
                <w:rFonts w:ascii="Cambria Math" w:hAnsi="Cambria Math"/>
                <w:i/>
              </w:rPr>
            </m:ctrlPr>
          </m:sSubPr>
          <m:e>
            <m:r>
              <w:rPr>
                <w:rFonts w:ascii="Cambria Math" w:hAnsi="Cambria Math"/>
              </w:rPr>
              <m:t xml:space="preserve"> C</m:t>
            </m:r>
          </m:e>
          <m:sub>
            <m:r>
              <w:rPr>
                <w:rFonts w:ascii="Cambria Math" w:hAnsi="Cambria Math"/>
              </w:rPr>
              <m:t>2</m:t>
            </m:r>
          </m:sub>
        </m:sSub>
      </m:oMath>
      <w:r w:rsidR="00D90610">
        <w:t xml:space="preserve">=1000 é </w:t>
      </w:r>
      <w:r>
        <w:t xml:space="preserve">o fator de conversão para unidade do SI (=1000), </w:t>
      </w:r>
      <m:oMath>
        <m:r>
          <w:rPr>
            <w:rFonts w:ascii="Cambria Math" w:hAnsi="Cambria Math"/>
          </w:rPr>
          <m:t>MW</m:t>
        </m:r>
      </m:oMath>
      <w:r w:rsidR="00D90610">
        <w:t xml:space="preserve"> é o peso molecular </w:t>
      </w:r>
      <w:proofErr w:type="spellStart"/>
      <w:r w:rsidR="00D90610" w:rsidRPr="00D90610">
        <w:t>Kgb</w:t>
      </w:r>
      <w:proofErr w:type="spellEnd"/>
      <w:r w:rsidR="00D90610" w:rsidRPr="00D90610">
        <w:t>/</w:t>
      </w:r>
      <w:proofErr w:type="spellStart"/>
      <w:r w:rsidR="00D90610" w:rsidRPr="00D90610">
        <w:t>Kg.mol</w:t>
      </w:r>
      <w:r w:rsidR="00D90610">
        <w:t>,</w:t>
      </w:r>
      <w:proofErr w:type="spellEnd"/>
      <w:r w:rsidR="00D90610">
        <w:t xml:space="preserve">  </w:t>
      </w:r>
      <m:oMath>
        <m:r>
          <w:rPr>
            <w:rFonts w:ascii="Cambria Math" w:hAnsi="Cambria Math"/>
          </w:rPr>
          <m:t>R</m:t>
        </m:r>
      </m:oMath>
      <w:r w:rsidR="00D90610" w:rsidRPr="00D90610">
        <w:t>= 8.314 é a constante universal dos gases em J/Kg.mol.</w:t>
      </w:r>
      <w:r w:rsidR="00D90610" w:rsidRPr="00D90610">
        <w:rPr>
          <w:vertAlign w:val="superscript"/>
        </w:rPr>
        <w:t>o</w:t>
      </w:r>
      <w:r w:rsidR="00D90610" w:rsidRPr="00D90610">
        <w:t>K</w:t>
      </w:r>
      <w:r w:rsidR="00D90610">
        <w:t xml:space="preserve"> e </w:t>
      </w:r>
      <m:oMath>
        <m:sSub>
          <m:sSubPr>
            <m:ctrlPr>
              <w:rPr>
                <w:rFonts w:ascii="Cambria Math" w:hAnsi="Cambria Math"/>
                <w:i/>
              </w:rPr>
            </m:ctrlPr>
          </m:sSubPr>
          <m:e>
            <m:r>
              <w:rPr>
                <w:rFonts w:ascii="Cambria Math" w:hAnsi="Cambria Math"/>
              </w:rPr>
              <m:t>T</m:t>
            </m:r>
          </m:e>
          <m:sub>
            <m:r>
              <w:rPr>
                <w:rFonts w:ascii="Cambria Math" w:hAnsi="Cambria Math"/>
              </w:rPr>
              <m:t>s</m:t>
            </m:r>
          </m:sub>
        </m:sSub>
      </m:oMath>
      <w:r w:rsidR="00D90610" w:rsidRPr="00D90610">
        <w:t xml:space="preserve"> é a temperatura de liberação (</w:t>
      </w:r>
      <w:r w:rsidR="00D90610" w:rsidRPr="00D90610">
        <w:rPr>
          <w:vertAlign w:val="superscript"/>
        </w:rPr>
        <w:t>o</w:t>
      </w:r>
      <w:r w:rsidR="00D90610" w:rsidRPr="00D90610">
        <w:t>K).</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gridCol w:w="1554"/>
      </w:tblGrid>
      <w:tr w:rsidR="001C6ED7" w:rsidTr="007A2896">
        <w:tc>
          <w:tcPr>
            <w:tcW w:w="8075" w:type="dxa"/>
            <w:vAlign w:val="center"/>
          </w:tcPr>
          <w:p w:rsidR="001C6ED7" w:rsidRDefault="00874417" w:rsidP="007A2896">
            <w:pPr>
              <w:jc w:val="center"/>
            </w:pPr>
            <m:oMathPara>
              <m:oMath>
                <m:sSub>
                  <m:sSubPr>
                    <m:ctrlPr>
                      <w:rPr>
                        <w:rFonts w:ascii="Cambria Math" w:hAnsi="Cambria Math"/>
                        <w:i/>
                      </w:rPr>
                    </m:ctrlPr>
                  </m:sSubPr>
                  <m:e>
                    <m:r>
                      <w:rPr>
                        <w:rFonts w:ascii="Cambria Math" w:hAnsi="Cambria Math"/>
                      </w:rPr>
                      <m:t>W</m:t>
                    </m:r>
                  </m:e>
                  <m:sub>
                    <m:r>
                      <w:rPr>
                        <w:rFonts w:ascii="Cambria Math" w:hAnsi="Cambria Math"/>
                      </w:rPr>
                      <m:t>subcrítica</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d</m:t>
                        </m:r>
                      </m:sub>
                    </m:sSub>
                  </m:num>
                  <m:den>
                    <m:sSub>
                      <m:sSubPr>
                        <m:ctrlPr>
                          <w:rPr>
                            <w:rFonts w:ascii="Cambria Math" w:hAnsi="Cambria Math"/>
                            <w:i/>
                          </w:rPr>
                        </m:ctrlPr>
                      </m:sSubPr>
                      <m:e>
                        <m:r>
                          <w:rPr>
                            <w:rFonts w:ascii="Cambria Math" w:hAnsi="Cambria Math"/>
                          </w:rPr>
                          <m:t>C</m:t>
                        </m:r>
                      </m:e>
                      <m:sub>
                        <m:r>
                          <w:rPr>
                            <w:rFonts w:ascii="Cambria Math" w:hAnsi="Cambria Math"/>
                          </w:rPr>
                          <m:t>2</m:t>
                        </m:r>
                      </m:sub>
                    </m:sSub>
                  </m:den>
                </m:f>
                <m:sSub>
                  <m:sSubPr>
                    <m:ctrlPr>
                      <w:rPr>
                        <w:rFonts w:ascii="Cambria Math" w:hAnsi="Cambria Math"/>
                        <w:i/>
                      </w:rPr>
                    </m:ctrlPr>
                  </m:sSubPr>
                  <m:e>
                    <m:r>
                      <w:rPr>
                        <w:rFonts w:ascii="Cambria Math" w:hAnsi="Cambria Math"/>
                      </w:rPr>
                      <m:t>A</m:t>
                    </m:r>
                  </m:e>
                  <m:sub>
                    <m:r>
                      <w:rPr>
                        <w:rFonts w:ascii="Cambria Math" w:hAnsi="Cambria Math"/>
                      </w:rPr>
                      <m:t>n</m:t>
                    </m:r>
                  </m:sub>
                </m:sSub>
                <m:sSub>
                  <m:sSubPr>
                    <m:ctrlPr>
                      <w:rPr>
                        <w:rFonts w:ascii="Cambria Math" w:hAnsi="Cambria Math"/>
                        <w:i/>
                      </w:rPr>
                    </m:ctrlPr>
                  </m:sSubPr>
                  <m:e>
                    <m:r>
                      <w:rPr>
                        <w:rFonts w:ascii="Cambria Math" w:hAnsi="Cambria Math"/>
                      </w:rPr>
                      <m:t>P</m:t>
                    </m:r>
                  </m:e>
                  <m:sub>
                    <m:r>
                      <w:rPr>
                        <w:rFonts w:ascii="Cambria Math" w:hAnsi="Cambria Math"/>
                      </w:rPr>
                      <m:t>s</m:t>
                    </m:r>
                  </m:sub>
                </m:sSub>
                <m:rad>
                  <m:radPr>
                    <m:degHide m:val="on"/>
                    <m:ctrlPr>
                      <w:rPr>
                        <w:rFonts w:ascii="Cambria Math" w:hAnsi="Cambria Math"/>
                        <w:i/>
                      </w:rPr>
                    </m:ctrlPr>
                  </m:radPr>
                  <m:deg/>
                  <m:e>
                    <m:f>
                      <m:fPr>
                        <m:ctrlPr>
                          <w:rPr>
                            <w:rFonts w:ascii="Cambria Math" w:hAnsi="Cambria Math"/>
                            <w:i/>
                          </w:rPr>
                        </m:ctrlPr>
                      </m:fPr>
                      <m:num>
                        <m:r>
                          <w:rPr>
                            <w:rFonts w:ascii="Cambria Math" w:hAnsi="Cambria Math"/>
                          </w:rPr>
                          <m:t xml:space="preserve">γ MW </m:t>
                        </m:r>
                        <m:sSub>
                          <m:sSubPr>
                            <m:ctrlPr>
                              <w:rPr>
                                <w:rFonts w:ascii="Cambria Math" w:hAnsi="Cambria Math"/>
                                <w:i/>
                              </w:rPr>
                            </m:ctrlPr>
                          </m:sSubPr>
                          <m:e>
                            <m:r>
                              <w:rPr>
                                <w:rFonts w:ascii="Cambria Math" w:hAnsi="Cambria Math"/>
                              </w:rPr>
                              <m:t>g</m:t>
                            </m:r>
                          </m:e>
                          <m:sub>
                            <m:r>
                              <w:rPr>
                                <w:rFonts w:ascii="Cambria Math" w:hAnsi="Cambria Math"/>
                              </w:rPr>
                              <m:t>c</m:t>
                            </m:r>
                          </m:sub>
                        </m:sSub>
                      </m:num>
                      <m:den>
                        <m:r>
                          <w:rPr>
                            <w:rFonts w:ascii="Cambria Math" w:hAnsi="Cambria Math"/>
                          </w:rPr>
                          <m:t xml:space="preserve">R </m:t>
                        </m:r>
                        <m:sSub>
                          <m:sSubPr>
                            <m:ctrlPr>
                              <w:rPr>
                                <w:rFonts w:ascii="Cambria Math" w:hAnsi="Cambria Math"/>
                                <w:i/>
                              </w:rPr>
                            </m:ctrlPr>
                          </m:sSubPr>
                          <m:e>
                            <m:r>
                              <w:rPr>
                                <w:rFonts w:ascii="Cambria Math" w:hAnsi="Cambria Math"/>
                              </w:rPr>
                              <m:t>T</m:t>
                            </m:r>
                          </m:e>
                          <m:sub>
                            <m:r>
                              <w:rPr>
                                <w:rFonts w:ascii="Cambria Math" w:hAnsi="Cambria Math"/>
                              </w:rPr>
                              <m:t>s</m:t>
                            </m:r>
                          </m:sub>
                        </m:sSub>
                      </m:den>
                    </m:f>
                    <m:d>
                      <m:dPr>
                        <m:ctrlPr>
                          <w:rPr>
                            <w:rFonts w:ascii="Cambria Math" w:hAnsi="Cambria Math"/>
                            <w:i/>
                          </w:rPr>
                        </m:ctrlPr>
                      </m:dPr>
                      <m:e>
                        <m:f>
                          <m:fPr>
                            <m:ctrlPr>
                              <w:rPr>
                                <w:rFonts w:ascii="Cambria Math" w:hAnsi="Cambria Math"/>
                                <w:i/>
                              </w:rPr>
                            </m:ctrlPr>
                          </m:fPr>
                          <m:num>
                            <m:r>
                              <w:rPr>
                                <w:rFonts w:ascii="Cambria Math" w:hAnsi="Cambria Math"/>
                              </w:rPr>
                              <m:t>2γ</m:t>
                            </m:r>
                          </m:num>
                          <m:den>
                            <m:r>
                              <w:rPr>
                                <w:rFonts w:ascii="Cambria Math" w:hAnsi="Cambria Math"/>
                              </w:rPr>
                              <m:t>γ+1</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atm</m:t>
                                    </m:r>
                                  </m:sub>
                                </m:sSub>
                              </m:num>
                              <m:den>
                                <m:sSub>
                                  <m:sSubPr>
                                    <m:ctrlPr>
                                      <w:rPr>
                                        <w:rFonts w:ascii="Cambria Math" w:hAnsi="Cambria Math"/>
                                        <w:i/>
                                      </w:rPr>
                                    </m:ctrlPr>
                                  </m:sSubPr>
                                  <m:e>
                                    <m:r>
                                      <w:rPr>
                                        <w:rFonts w:ascii="Cambria Math" w:hAnsi="Cambria Math"/>
                                      </w:rPr>
                                      <m:t>P</m:t>
                                    </m:r>
                                  </m:e>
                                  <m:sub>
                                    <m:r>
                                      <w:rPr>
                                        <w:rFonts w:ascii="Cambria Math" w:hAnsi="Cambria Math"/>
                                      </w:rPr>
                                      <m:t>s</m:t>
                                    </m:r>
                                  </m:sub>
                                </m:sSub>
                              </m:den>
                            </m:f>
                          </m:e>
                        </m:d>
                      </m:e>
                      <m:sup>
                        <m:f>
                          <m:fPr>
                            <m:ctrlPr>
                              <w:rPr>
                                <w:rFonts w:ascii="Cambria Math" w:hAnsi="Cambria Math"/>
                                <w:i/>
                              </w:rPr>
                            </m:ctrlPr>
                          </m:fPr>
                          <m:num>
                            <m:r>
                              <w:rPr>
                                <w:rFonts w:ascii="Cambria Math" w:hAnsi="Cambria Math"/>
                              </w:rPr>
                              <m:t>2</m:t>
                            </m:r>
                          </m:num>
                          <m:den>
                            <m:r>
                              <w:rPr>
                                <w:rFonts w:ascii="Cambria Math" w:hAnsi="Cambria Math"/>
                              </w:rPr>
                              <m:t>γ</m:t>
                            </m:r>
                          </m:den>
                        </m:f>
                      </m:sup>
                    </m:sSup>
                    <m:d>
                      <m:dPr>
                        <m:begChr m:val="["/>
                        <m:endChr m:val="]"/>
                        <m:ctrlPr>
                          <w:rPr>
                            <w:rFonts w:ascii="Cambria Math" w:hAnsi="Cambria Math"/>
                            <w:i/>
                          </w:rPr>
                        </m:ctrlPr>
                      </m:dPr>
                      <m:e>
                        <m:r>
                          <w:rPr>
                            <w:rFonts w:ascii="Cambria Math" w:hAnsi="Cambria Math"/>
                          </w:rPr>
                          <m:t>1-</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atm</m:t>
                                        </m:r>
                                      </m:sub>
                                    </m:sSub>
                                  </m:num>
                                  <m:den>
                                    <m:sSub>
                                      <m:sSubPr>
                                        <m:ctrlPr>
                                          <w:rPr>
                                            <w:rFonts w:ascii="Cambria Math" w:hAnsi="Cambria Math"/>
                                            <w:i/>
                                          </w:rPr>
                                        </m:ctrlPr>
                                      </m:sSubPr>
                                      <m:e>
                                        <m:r>
                                          <w:rPr>
                                            <w:rFonts w:ascii="Cambria Math" w:hAnsi="Cambria Math"/>
                                          </w:rPr>
                                          <m:t>P</m:t>
                                        </m:r>
                                      </m:e>
                                      <m:sub>
                                        <m:r>
                                          <w:rPr>
                                            <w:rFonts w:ascii="Cambria Math" w:hAnsi="Cambria Math"/>
                                          </w:rPr>
                                          <m:t>s</m:t>
                                        </m:r>
                                      </m:sub>
                                    </m:sSub>
                                  </m:den>
                                </m:f>
                              </m:e>
                            </m:d>
                          </m:e>
                          <m:sup>
                            <m:f>
                              <m:fPr>
                                <m:ctrlPr>
                                  <w:rPr>
                                    <w:rFonts w:ascii="Cambria Math" w:hAnsi="Cambria Math"/>
                                    <w:i/>
                                  </w:rPr>
                                </m:ctrlPr>
                              </m:fPr>
                              <m:num>
                                <m:r>
                                  <w:rPr>
                                    <w:rFonts w:ascii="Cambria Math" w:hAnsi="Cambria Math"/>
                                  </w:rPr>
                                  <m:t>γ-1</m:t>
                                </m:r>
                              </m:num>
                              <m:den>
                                <m:r>
                                  <w:rPr>
                                    <w:rFonts w:ascii="Cambria Math" w:hAnsi="Cambria Math"/>
                                  </w:rPr>
                                  <m:t>γ</m:t>
                                </m:r>
                              </m:den>
                            </m:f>
                          </m:sup>
                        </m:sSup>
                      </m:e>
                    </m:d>
                  </m:e>
                </m:rad>
              </m:oMath>
            </m:oMathPara>
          </w:p>
          <w:p w:rsidR="001C6ED7" w:rsidRDefault="001C6ED7" w:rsidP="007A2896">
            <w:pPr>
              <w:ind w:firstLine="0"/>
              <w:jc w:val="center"/>
            </w:pPr>
          </w:p>
        </w:tc>
        <w:tc>
          <w:tcPr>
            <w:tcW w:w="1554" w:type="dxa"/>
            <w:vAlign w:val="center"/>
          </w:tcPr>
          <w:p w:rsidR="001C6ED7" w:rsidRDefault="001C6ED7" w:rsidP="007A2896">
            <w:pPr>
              <w:ind w:firstLine="0"/>
              <w:jc w:val="center"/>
            </w:pPr>
            <w:r>
              <w:t>(</w:t>
            </w:r>
            <w:r w:rsidR="00874417">
              <w:fldChar w:fldCharType="begin"/>
            </w:r>
            <w:r>
              <w:instrText xml:space="preserve"> SEQ Equação \* ARABIC </w:instrText>
            </w:r>
            <w:r w:rsidR="00874417">
              <w:fldChar w:fldCharType="separate"/>
            </w:r>
            <w:r w:rsidR="007C2804">
              <w:rPr>
                <w:noProof/>
              </w:rPr>
              <w:t>3</w:t>
            </w:r>
            <w:r w:rsidR="00874417">
              <w:fldChar w:fldCharType="end"/>
            </w:r>
            <w:r>
              <w:t>)</w:t>
            </w:r>
          </w:p>
        </w:tc>
      </w:tr>
    </w:tbl>
    <w:p w:rsidR="00EC4F80" w:rsidRDefault="00EC4F80" w:rsidP="00241257"/>
    <w:p w:rsidR="00E74190" w:rsidRDefault="00EA4CB8" w:rsidP="005E43C5">
      <w:r>
        <w:t xml:space="preserve">Duas relações são apresentadas para definir a distância da nuvem inflamável. A primeira equação é definida para a pluma com concentração de 100 % do limite inferior de </w:t>
      </w:r>
      <w:proofErr w:type="spellStart"/>
      <w:r>
        <w:t>inflamabilidade</w:t>
      </w:r>
      <w:proofErr w:type="spellEnd"/>
      <w:r>
        <w:t xml:space="preserve"> (LII), </w:t>
      </w:r>
      <w:proofErr w:type="spellStart"/>
      <w:r>
        <w:t>Equacaoxxx</w:t>
      </w:r>
      <w:proofErr w:type="spellEnd"/>
      <w:r>
        <w:t xml:space="preserve">, e a segunda para 60 % do limite inferior de inflamabilidade (LII) </w:t>
      </w:r>
      <w:sdt>
        <w:sdtPr>
          <w:id w:val="-1203167705"/>
          <w:citation/>
        </w:sdtPr>
        <w:sdtContent>
          <w:r w:rsidR="00874417" w:rsidRPr="00DF54CF">
            <w:fldChar w:fldCharType="begin"/>
          </w:r>
          <w:r w:rsidRPr="00DF54CF">
            <w:instrText xml:space="preserve"> CITATION Pet \l 1046 </w:instrText>
          </w:r>
          <w:r w:rsidR="00874417" w:rsidRPr="00DF54CF">
            <w:fldChar w:fldCharType="separate"/>
          </w:r>
          <w:r w:rsidRPr="00DF54CF">
            <w:rPr>
              <w:noProof/>
            </w:rPr>
            <w:t>[13]</w:t>
          </w:r>
          <w:r w:rsidR="00874417" w:rsidRPr="00DF54CF">
            <w:fldChar w:fldCharType="end"/>
          </w:r>
        </w:sdtContent>
      </w:sdt>
      <w:r>
        <w:t>.</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gridCol w:w="1554"/>
      </w:tblGrid>
      <w:tr w:rsidR="00EA4CB8" w:rsidTr="007A2896">
        <w:tc>
          <w:tcPr>
            <w:tcW w:w="8075" w:type="dxa"/>
            <w:vAlign w:val="center"/>
          </w:tcPr>
          <w:p w:rsidR="00EA4CB8" w:rsidRDefault="00C8479C" w:rsidP="007A2896">
            <w:pPr>
              <w:jc w:val="center"/>
            </w:pPr>
            <m:oMathPara>
              <m:oMath>
                <m:r>
                  <w:rPr>
                    <w:rFonts w:ascii="Cambria Math" w:hAnsi="Cambria Math"/>
                  </w:rPr>
                  <m:t>X= 2.100</m:t>
                </m:r>
                <m:rad>
                  <m:radPr>
                    <m:degHide m:val="on"/>
                    <m:ctrlPr>
                      <w:rPr>
                        <w:rFonts w:ascii="Cambria Math" w:hAnsi="Cambria Math"/>
                        <w:i/>
                      </w:rPr>
                    </m:ctrlPr>
                  </m:radPr>
                  <m:deg/>
                  <m:e>
                    <m:f>
                      <m:fPr>
                        <m:ctrlPr>
                          <w:rPr>
                            <w:rFonts w:ascii="Cambria Math" w:hAnsi="Cambria Math"/>
                            <w:i/>
                          </w:rPr>
                        </m:ctrlPr>
                      </m:fPr>
                      <m:num>
                        <m:r>
                          <w:rPr>
                            <w:rFonts w:ascii="Cambria Math" w:hAnsi="Cambria Math"/>
                          </w:rPr>
                          <m:t>G</m:t>
                        </m:r>
                      </m:num>
                      <m:den>
                        <m:sSup>
                          <m:sSupPr>
                            <m:ctrlPr>
                              <w:rPr>
                                <w:rFonts w:ascii="Cambria Math" w:hAnsi="Cambria Math"/>
                                <w:i/>
                              </w:rPr>
                            </m:ctrlPr>
                          </m:sSupPr>
                          <m:e>
                            <m:r>
                              <w:rPr>
                                <w:rFonts w:ascii="Cambria Math" w:hAnsi="Cambria Math"/>
                              </w:rPr>
                              <m:t>E</m:t>
                            </m:r>
                          </m:e>
                          <m:sup>
                            <m:r>
                              <w:rPr>
                                <w:rFonts w:ascii="Cambria Math" w:hAnsi="Cambria Math"/>
                              </w:rPr>
                              <m:t>2</m:t>
                            </m:r>
                          </m:sup>
                        </m:sSup>
                      </m:den>
                    </m:f>
                    <m:sSup>
                      <m:sSupPr>
                        <m:ctrlPr>
                          <w:rPr>
                            <w:rFonts w:ascii="Cambria Math" w:hAnsi="Cambria Math"/>
                            <w:i/>
                          </w:rPr>
                        </m:ctrlPr>
                      </m:sSupPr>
                      <m:e>
                        <m:r>
                          <w:rPr>
                            <w:rFonts w:ascii="Cambria Math" w:hAnsi="Cambria Math"/>
                          </w:rPr>
                          <m:t>MW</m:t>
                        </m:r>
                      </m:e>
                      <m:sup>
                        <m:r>
                          <w:rPr>
                            <w:rFonts w:ascii="Cambria Math" w:hAnsi="Cambria Math"/>
                          </w:rPr>
                          <m:t>1,5</m:t>
                        </m:r>
                      </m:sup>
                    </m:sSup>
                    <m:sSup>
                      <m:sSupPr>
                        <m:ctrlPr>
                          <w:rPr>
                            <w:rFonts w:ascii="Cambria Math" w:hAnsi="Cambria Math"/>
                            <w:i/>
                          </w:rPr>
                        </m:ctrlPr>
                      </m:sSupPr>
                      <m:e>
                        <m:r>
                          <w:rPr>
                            <w:rFonts w:ascii="Cambria Math" w:hAnsi="Cambria Math"/>
                          </w:rPr>
                          <m:t>T</m:t>
                        </m:r>
                      </m:e>
                      <m:sup>
                        <m:r>
                          <w:rPr>
                            <w:rFonts w:ascii="Cambria Math" w:hAnsi="Cambria Math"/>
                          </w:rPr>
                          <m:t>0,5</m:t>
                        </m:r>
                      </m:sup>
                    </m:sSup>
                  </m:e>
                </m:rad>
              </m:oMath>
            </m:oMathPara>
          </w:p>
          <w:p w:rsidR="00EA4CB8" w:rsidRDefault="00EA4CB8" w:rsidP="007A2896">
            <w:pPr>
              <w:ind w:firstLine="0"/>
              <w:jc w:val="center"/>
            </w:pPr>
          </w:p>
        </w:tc>
        <w:tc>
          <w:tcPr>
            <w:tcW w:w="1554" w:type="dxa"/>
            <w:vAlign w:val="center"/>
          </w:tcPr>
          <w:p w:rsidR="00EA4CB8" w:rsidRDefault="00EA4CB8" w:rsidP="007A2896">
            <w:pPr>
              <w:ind w:firstLine="0"/>
              <w:jc w:val="center"/>
            </w:pPr>
            <w:bookmarkStart w:id="5" w:name="_Ref23097422"/>
            <w:r>
              <w:t>(</w:t>
            </w:r>
            <w:r w:rsidR="00874417">
              <w:fldChar w:fldCharType="begin"/>
            </w:r>
            <w:r>
              <w:instrText xml:space="preserve"> SEQ Equação \* ARABIC </w:instrText>
            </w:r>
            <w:r w:rsidR="00874417">
              <w:fldChar w:fldCharType="separate"/>
            </w:r>
            <w:r w:rsidR="007C2804">
              <w:rPr>
                <w:noProof/>
              </w:rPr>
              <w:t>4</w:t>
            </w:r>
            <w:r w:rsidR="00874417">
              <w:fldChar w:fldCharType="end"/>
            </w:r>
            <w:r>
              <w:t>)</w:t>
            </w:r>
            <w:bookmarkEnd w:id="5"/>
          </w:p>
        </w:tc>
      </w:tr>
    </w:tbl>
    <w:p w:rsidR="00EA4CB8" w:rsidRDefault="00C8479C" w:rsidP="00C8479C">
      <w:r>
        <w:t xml:space="preserve">Onde </w:t>
      </w:r>
      <m:oMath>
        <m:r>
          <w:rPr>
            <w:rFonts w:ascii="Cambria Math" w:hAnsi="Cambria Math"/>
          </w:rPr>
          <m:t>X</m:t>
        </m:r>
      </m:oMath>
      <w:r>
        <w:t xml:space="preserve"> é a distância alcaçada pela nuvem de gás ou vapor com concentração de um determinado percentual do LII, G é a taxa de vazamento em kg/s, E é o LII em % e T é a temperatura de operação.</w:t>
      </w:r>
    </w:p>
    <w:p w:rsidR="00C8479C" w:rsidRDefault="00C8479C" w:rsidP="00C8479C">
      <w:r>
        <w:t xml:space="preserve">Em </w:t>
      </w:r>
      <w:sdt>
        <w:sdtPr>
          <w:id w:val="-1212191134"/>
          <w:citation/>
        </w:sdtPr>
        <w:sdtContent>
          <w:r w:rsidR="00874417" w:rsidRPr="00DF54CF">
            <w:fldChar w:fldCharType="begin"/>
          </w:r>
          <w:r w:rsidRPr="00DF54CF">
            <w:instrText xml:space="preserve"> CITATION Pet \l 1046 </w:instrText>
          </w:r>
          <w:r w:rsidR="00874417" w:rsidRPr="00DF54CF">
            <w:fldChar w:fldCharType="separate"/>
          </w:r>
          <w:r w:rsidRPr="00DF54CF">
            <w:rPr>
              <w:noProof/>
            </w:rPr>
            <w:t>[13]</w:t>
          </w:r>
          <w:r w:rsidR="00874417" w:rsidRPr="00DF54CF">
            <w:fldChar w:fldCharType="end"/>
          </w:r>
        </w:sdtContent>
      </w:sdt>
      <w:r>
        <w:t xml:space="preserve"> é definido que os detectores devem ser posicionados nas seguintes distâncias para cada faixa de valor determinado pela Equação </w:t>
      </w:r>
      <w:r w:rsidR="00874417">
        <w:fldChar w:fldCharType="begin"/>
      </w:r>
      <w:r>
        <w:instrText xml:space="preserve"> REF _Ref23097422 \h </w:instrText>
      </w:r>
      <w:r w:rsidR="00874417">
        <w:fldChar w:fldCharType="separate"/>
      </w:r>
      <w:r w:rsidR="007C2804">
        <w:t>(</w:t>
      </w:r>
      <w:r w:rsidR="007C2804">
        <w:rPr>
          <w:noProof/>
        </w:rPr>
        <w:t>4</w:t>
      </w:r>
      <w:r w:rsidR="007C2804">
        <w:t>)</w:t>
      </w:r>
      <w:r w:rsidR="00874417">
        <w:fldChar w:fldCharType="end"/>
      </w:r>
      <w:r>
        <w:t>.</w:t>
      </w:r>
      <w:r w:rsidR="005D1BC8">
        <w:t xml:space="preserve"> Além disso, é definido que para vazamentos de gás tóxico distância máxima é de 5 m, não sendo adotada nenhuma equação para essa definição. </w:t>
      </w:r>
    </w:p>
    <w:p w:rsidR="00815B25" w:rsidRDefault="00815B25" w:rsidP="00815B25">
      <w:pPr>
        <w:pStyle w:val="Legenda"/>
        <w:keepNext/>
        <w:spacing w:after="0"/>
      </w:pPr>
      <w:r>
        <w:t xml:space="preserve">Tabela </w:t>
      </w:r>
      <w:r w:rsidR="00874417">
        <w:fldChar w:fldCharType="begin"/>
      </w:r>
      <w:r>
        <w:instrText xml:space="preserve"> SEQ Tabela \* ARABIC </w:instrText>
      </w:r>
      <w:r w:rsidR="00874417">
        <w:fldChar w:fldCharType="separate"/>
      </w:r>
      <w:r w:rsidR="007C2804">
        <w:rPr>
          <w:noProof/>
        </w:rPr>
        <w:t>4</w:t>
      </w:r>
      <w:r w:rsidR="00874417">
        <w:fldChar w:fldCharType="end"/>
      </w:r>
      <w:r>
        <w:t xml:space="preserve">: </w:t>
      </w:r>
      <w:r w:rsidRPr="00815B25">
        <w:rPr>
          <w:rStyle w:val="LegentaTabelaChar"/>
        </w:rPr>
        <w:t>Distância calculada e valor adotado para a posição do detector</w:t>
      </w:r>
      <w:r w:rsidR="005D1BC8">
        <w:rPr>
          <w:rStyle w:val="LegentaTabelaChar"/>
        </w:rPr>
        <w:t xml:space="preserve"> de gás ou vapor inflamável </w:t>
      </w:r>
      <w:sdt>
        <w:sdtPr>
          <w:rPr>
            <w:b w:val="0"/>
            <w:bCs w:val="0"/>
            <w:iCs/>
          </w:rPr>
          <w:id w:val="-1663853081"/>
          <w:citation/>
        </w:sdtPr>
        <w:sdtContent>
          <w:r w:rsidR="00874417" w:rsidRPr="005D1BC8">
            <w:rPr>
              <w:b w:val="0"/>
              <w:bCs w:val="0"/>
            </w:rPr>
            <w:fldChar w:fldCharType="begin"/>
          </w:r>
          <w:r w:rsidR="005D1BC8" w:rsidRPr="005D1BC8">
            <w:rPr>
              <w:b w:val="0"/>
              <w:bCs w:val="0"/>
            </w:rPr>
            <w:instrText xml:space="preserve"> CITATION Pet \l 1046 </w:instrText>
          </w:r>
          <w:r w:rsidR="00874417" w:rsidRPr="005D1BC8">
            <w:rPr>
              <w:b w:val="0"/>
              <w:bCs w:val="0"/>
            </w:rPr>
            <w:fldChar w:fldCharType="separate"/>
          </w:r>
          <w:r w:rsidR="005D1BC8" w:rsidRPr="005D1BC8">
            <w:rPr>
              <w:b w:val="0"/>
              <w:bCs w:val="0"/>
              <w:noProof/>
            </w:rPr>
            <w:t>[13]</w:t>
          </w:r>
          <w:r w:rsidR="00874417" w:rsidRPr="005D1BC8">
            <w:rPr>
              <w:b w:val="0"/>
              <w:bCs w:val="0"/>
            </w:rPr>
            <w:fldChar w:fldCharType="end"/>
          </w:r>
        </w:sdtContent>
      </w:sdt>
      <w:r w:rsidR="005D1BC8">
        <w:rPr>
          <w:b w:val="0"/>
          <w:bCs w:val="0"/>
        </w:rPr>
        <w:t>.</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44"/>
        <w:gridCol w:w="1567"/>
      </w:tblGrid>
      <w:tr w:rsidR="00C8479C" w:rsidTr="00815B25">
        <w:trPr>
          <w:jc w:val="center"/>
        </w:trPr>
        <w:tc>
          <w:tcPr>
            <w:tcW w:w="0" w:type="auto"/>
            <w:tcBorders>
              <w:top w:val="single" w:sz="12" w:space="0" w:color="auto"/>
              <w:bottom w:val="single" w:sz="12" w:space="0" w:color="auto"/>
            </w:tcBorders>
            <w:vAlign w:val="center"/>
          </w:tcPr>
          <w:p w:rsidR="00C8479C" w:rsidRPr="00815B25" w:rsidRDefault="00C8479C" w:rsidP="0089429E">
            <w:pPr>
              <w:spacing w:line="360" w:lineRule="auto"/>
              <w:ind w:firstLine="0"/>
              <w:jc w:val="center"/>
              <w:rPr>
                <w:b/>
                <w:bCs/>
              </w:rPr>
            </w:pPr>
            <w:r w:rsidRPr="00815B25">
              <w:rPr>
                <w:b/>
                <w:bCs/>
              </w:rPr>
              <w:t>Distância calculada (X), [m]</w:t>
            </w:r>
          </w:p>
        </w:tc>
        <w:tc>
          <w:tcPr>
            <w:tcW w:w="0" w:type="auto"/>
            <w:tcBorders>
              <w:top w:val="single" w:sz="12" w:space="0" w:color="auto"/>
              <w:bottom w:val="single" w:sz="12" w:space="0" w:color="auto"/>
            </w:tcBorders>
            <w:vAlign w:val="center"/>
          </w:tcPr>
          <w:p w:rsidR="00C8479C" w:rsidRPr="00815B25" w:rsidRDefault="00C8479C" w:rsidP="0089429E">
            <w:pPr>
              <w:spacing w:line="360" w:lineRule="auto"/>
              <w:ind w:firstLine="0"/>
              <w:jc w:val="center"/>
              <w:rPr>
                <w:b/>
                <w:bCs/>
              </w:rPr>
            </w:pPr>
            <w:r w:rsidRPr="00815B25">
              <w:rPr>
                <w:b/>
                <w:bCs/>
              </w:rPr>
              <w:t>Valor adotado</w:t>
            </w:r>
          </w:p>
        </w:tc>
      </w:tr>
      <w:tr w:rsidR="00C8479C" w:rsidTr="00815B25">
        <w:trPr>
          <w:jc w:val="center"/>
        </w:trPr>
        <w:tc>
          <w:tcPr>
            <w:tcW w:w="0" w:type="auto"/>
            <w:tcBorders>
              <w:top w:val="single" w:sz="12" w:space="0" w:color="auto"/>
            </w:tcBorders>
            <w:vAlign w:val="center"/>
          </w:tcPr>
          <w:p w:rsidR="00C8479C" w:rsidRDefault="00C8479C" w:rsidP="0089429E">
            <w:pPr>
              <w:spacing w:line="360" w:lineRule="auto"/>
              <w:ind w:firstLine="0"/>
              <w:jc w:val="center"/>
            </w:pPr>
            <w:r>
              <w:t>&lt;5</w:t>
            </w:r>
          </w:p>
        </w:tc>
        <w:tc>
          <w:tcPr>
            <w:tcW w:w="0" w:type="auto"/>
            <w:tcBorders>
              <w:top w:val="single" w:sz="12" w:space="0" w:color="auto"/>
            </w:tcBorders>
            <w:vAlign w:val="center"/>
          </w:tcPr>
          <w:p w:rsidR="00C8479C" w:rsidRDefault="00815B25" w:rsidP="0089429E">
            <w:pPr>
              <w:spacing w:line="360" w:lineRule="auto"/>
              <w:ind w:firstLine="0"/>
              <w:jc w:val="center"/>
            </w:pPr>
            <w:r>
              <w:t>5</w:t>
            </w:r>
          </w:p>
        </w:tc>
      </w:tr>
      <w:tr w:rsidR="00C8479C" w:rsidTr="00815B25">
        <w:trPr>
          <w:jc w:val="center"/>
        </w:trPr>
        <w:tc>
          <w:tcPr>
            <w:tcW w:w="0" w:type="auto"/>
            <w:vAlign w:val="center"/>
          </w:tcPr>
          <w:p w:rsidR="00C8479C" w:rsidRDefault="00815B25" w:rsidP="0089429E">
            <w:pPr>
              <w:spacing w:line="360" w:lineRule="auto"/>
              <w:ind w:firstLine="0"/>
              <w:jc w:val="center"/>
            </w:pPr>
            <w:r>
              <w:t>5-10</w:t>
            </w:r>
          </w:p>
        </w:tc>
        <w:tc>
          <w:tcPr>
            <w:tcW w:w="0" w:type="auto"/>
            <w:vAlign w:val="center"/>
          </w:tcPr>
          <w:p w:rsidR="00C8479C" w:rsidRDefault="00815B25" w:rsidP="0089429E">
            <w:pPr>
              <w:spacing w:line="360" w:lineRule="auto"/>
              <w:ind w:firstLine="0"/>
              <w:jc w:val="center"/>
            </w:pPr>
            <w:r>
              <w:t>10</w:t>
            </w:r>
          </w:p>
        </w:tc>
      </w:tr>
      <w:tr w:rsidR="00C8479C" w:rsidTr="00815B25">
        <w:trPr>
          <w:jc w:val="center"/>
        </w:trPr>
        <w:tc>
          <w:tcPr>
            <w:tcW w:w="0" w:type="auto"/>
            <w:vAlign w:val="center"/>
          </w:tcPr>
          <w:p w:rsidR="00C8479C" w:rsidRDefault="00815B25" w:rsidP="0089429E">
            <w:pPr>
              <w:spacing w:line="360" w:lineRule="auto"/>
              <w:ind w:firstLine="0"/>
              <w:jc w:val="center"/>
            </w:pPr>
            <w:r>
              <w:t>10-20</w:t>
            </w:r>
          </w:p>
        </w:tc>
        <w:tc>
          <w:tcPr>
            <w:tcW w:w="0" w:type="auto"/>
            <w:vAlign w:val="center"/>
          </w:tcPr>
          <w:p w:rsidR="00C8479C" w:rsidRDefault="00815B25" w:rsidP="0089429E">
            <w:pPr>
              <w:spacing w:line="360" w:lineRule="auto"/>
              <w:ind w:firstLine="0"/>
              <w:jc w:val="center"/>
            </w:pPr>
            <w:r>
              <w:t>15</w:t>
            </w:r>
          </w:p>
        </w:tc>
      </w:tr>
      <w:tr w:rsidR="00C8479C" w:rsidTr="00815B25">
        <w:trPr>
          <w:jc w:val="center"/>
        </w:trPr>
        <w:tc>
          <w:tcPr>
            <w:tcW w:w="0" w:type="auto"/>
            <w:tcBorders>
              <w:bottom w:val="single" w:sz="12" w:space="0" w:color="auto"/>
            </w:tcBorders>
            <w:vAlign w:val="center"/>
          </w:tcPr>
          <w:p w:rsidR="00C8479C" w:rsidRDefault="00815B25" w:rsidP="0089429E">
            <w:pPr>
              <w:spacing w:line="360" w:lineRule="auto"/>
              <w:ind w:firstLine="0"/>
              <w:jc w:val="center"/>
            </w:pPr>
            <w:r>
              <w:t>&gt;20</w:t>
            </w:r>
          </w:p>
        </w:tc>
        <w:tc>
          <w:tcPr>
            <w:tcW w:w="0" w:type="auto"/>
            <w:tcBorders>
              <w:bottom w:val="single" w:sz="12" w:space="0" w:color="auto"/>
            </w:tcBorders>
            <w:vAlign w:val="center"/>
          </w:tcPr>
          <w:p w:rsidR="00C8479C" w:rsidRDefault="00815B25" w:rsidP="0089429E">
            <w:pPr>
              <w:spacing w:line="360" w:lineRule="auto"/>
              <w:ind w:firstLine="0"/>
              <w:jc w:val="center"/>
            </w:pPr>
            <w:r>
              <w:t>15</w:t>
            </w:r>
          </w:p>
        </w:tc>
      </w:tr>
    </w:tbl>
    <w:p w:rsidR="005D1BC8" w:rsidRDefault="005D1BC8" w:rsidP="005D1BC8">
      <w:pPr>
        <w:ind w:firstLine="0"/>
      </w:pPr>
    </w:p>
    <w:p w:rsidR="00C8479C" w:rsidRDefault="005D1BC8" w:rsidP="005D1BC8">
      <w:r>
        <w:lastRenderedPageBreak/>
        <w:t xml:space="preserve">Em relação </w:t>
      </w:r>
      <w:proofErr w:type="gramStart"/>
      <w:r>
        <w:t>a</w:t>
      </w:r>
      <w:proofErr w:type="gramEnd"/>
      <w:r>
        <w:t xml:space="preserve"> altura, se o gás/vapor a ser detectado é mais pesado que o </w:t>
      </w:r>
      <w:r w:rsidR="003355AC">
        <w:t>ar a</w:t>
      </w:r>
      <w:r>
        <w:t xml:space="preserve"> posição vertical deve ser </w:t>
      </w:r>
      <w:r w:rsidR="003355AC">
        <w:t>definida</w:t>
      </w:r>
      <w:r>
        <w:t xml:space="preserve"> entre 1,0 e 1,5 metros em relação ao nível do piso. Entretanto, se o gás/vapor a ser detectado é mais leve que o ar a elevação deve ser entre 2,0 e 4,0 metros do nível do piso.</w:t>
      </w:r>
    </w:p>
    <w:p w:rsidR="00474E67" w:rsidRDefault="00474E67" w:rsidP="00C8479C">
      <w:r>
        <w:t xml:space="preserve">A posição do detector ainda não foi definida, já que apenas definiu-se a distância do ponto de vazamento e a altura. Para fazer o fechamento da coordenada do dispositivo utiliza-se a direção preferencial do vento, conforme apresentada na </w:t>
      </w:r>
      <w:r w:rsidR="00874417">
        <w:fldChar w:fldCharType="begin"/>
      </w:r>
      <w:r w:rsidR="001835A1">
        <w:instrText xml:space="preserve"> REF _Ref23099520 \h </w:instrText>
      </w:r>
      <w:r w:rsidR="00874417">
        <w:fldChar w:fldCharType="separate"/>
      </w:r>
      <w:r w:rsidR="007C2804">
        <w:t xml:space="preserve">Figura </w:t>
      </w:r>
      <w:r w:rsidR="007C2804">
        <w:rPr>
          <w:noProof/>
        </w:rPr>
        <w:t>1</w:t>
      </w:r>
      <w:r w:rsidR="00874417">
        <w:fldChar w:fldCharType="end"/>
      </w:r>
      <w:r w:rsidRPr="00474E67">
        <w:t>.</w:t>
      </w:r>
    </w:p>
    <w:p w:rsidR="00474E67" w:rsidRDefault="001835A1" w:rsidP="00ED01E5">
      <w:pPr>
        <w:pStyle w:val="Figura"/>
      </w:pPr>
      <w:r w:rsidRPr="001835A1">
        <w:drawing>
          <wp:inline distT="0" distB="0" distL="0" distR="0">
            <wp:extent cx="4047487" cy="2880000"/>
            <wp:effectExtent l="0" t="0" r="0" b="0"/>
            <wp:docPr id="8" name="Imagem 3">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2DC0DF03-F470-49EF-9947-0425EEED7D0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3">
                      <a:extLst>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2DC0DF03-F470-49EF-9947-0425EEED7D04}"/>
                        </a:ext>
                      </a:extLst>
                    </pic:cNvPr>
                    <pic:cNvPicPr>
                      <a:picLocks noChangeAspect="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047487" cy="2880000"/>
                    </a:xfrm>
                    <a:prstGeom prst="rect">
                      <a:avLst/>
                    </a:prstGeom>
                    <a:noFill/>
                    <a:ln>
                      <a:noFill/>
                    </a:ln>
                  </pic:spPr>
                </pic:pic>
              </a:graphicData>
            </a:graphic>
          </wp:inline>
        </w:drawing>
      </w:r>
    </w:p>
    <w:p w:rsidR="005D1BC8" w:rsidRDefault="00474E67" w:rsidP="00474E67">
      <w:pPr>
        <w:pStyle w:val="Legenda"/>
        <w:jc w:val="both"/>
        <w:rPr>
          <w:b w:val="0"/>
          <w:bCs w:val="0"/>
        </w:rPr>
      </w:pPr>
      <w:bookmarkStart w:id="6" w:name="_Ref23099520"/>
      <w:r>
        <w:t xml:space="preserve">Figura </w:t>
      </w:r>
      <w:r w:rsidR="00874417">
        <w:fldChar w:fldCharType="begin"/>
      </w:r>
      <w:r>
        <w:instrText xml:space="preserve"> SEQ Figura \* ARABIC </w:instrText>
      </w:r>
      <w:r w:rsidR="00874417">
        <w:fldChar w:fldCharType="separate"/>
      </w:r>
      <w:r w:rsidR="007C2804">
        <w:rPr>
          <w:noProof/>
        </w:rPr>
        <w:t>1</w:t>
      </w:r>
      <w:r w:rsidR="00874417">
        <w:fldChar w:fldCharType="end"/>
      </w:r>
      <w:bookmarkEnd w:id="6"/>
      <w:r w:rsidRPr="001835A1">
        <w:rPr>
          <w:b w:val="0"/>
          <w:bCs w:val="0"/>
        </w:rPr>
        <w:t xml:space="preserve">: </w:t>
      </w:r>
      <w:r w:rsidR="001835A1" w:rsidRPr="001835A1">
        <w:rPr>
          <w:b w:val="0"/>
          <w:bCs w:val="0"/>
        </w:rPr>
        <w:t>Definição da posição do detector baseada na distância recomendada e a direção do vento predominante.</w:t>
      </w:r>
    </w:p>
    <w:p w:rsidR="001835A1" w:rsidRDefault="001835A1" w:rsidP="001835A1"/>
    <w:p w:rsidR="001835A1" w:rsidRDefault="00ED01E5" w:rsidP="001835A1">
      <w:r>
        <w:t xml:space="preserve">A planilha ainda apresenta uma solução para otimização dos detectores. Desta forma, havendo dois equipamentos próximos a posição é determinada dentro do raio de influência um do outro, como pode ser visto na </w:t>
      </w:r>
      <w:r w:rsidR="00874417">
        <w:fldChar w:fldCharType="begin"/>
      </w:r>
      <w:r w:rsidR="001948E1">
        <w:instrText xml:space="preserve"> REF _Ref23099932 \h </w:instrText>
      </w:r>
      <w:r w:rsidR="00874417">
        <w:fldChar w:fldCharType="separate"/>
      </w:r>
      <w:r w:rsidR="007C2804">
        <w:t xml:space="preserve">Figura </w:t>
      </w:r>
      <w:r w:rsidR="007C2804">
        <w:rPr>
          <w:noProof/>
        </w:rPr>
        <w:t>2</w:t>
      </w:r>
      <w:r w:rsidR="00874417">
        <w:fldChar w:fldCharType="end"/>
      </w:r>
      <w:r w:rsidR="001948E1">
        <w:t>.</w:t>
      </w:r>
    </w:p>
    <w:p w:rsidR="00ED01E5" w:rsidRDefault="00ED01E5" w:rsidP="00ED01E5">
      <w:pPr>
        <w:pStyle w:val="Figura"/>
        <w:keepNext/>
      </w:pPr>
      <w:r w:rsidRPr="00ED01E5">
        <w:drawing>
          <wp:inline distT="0" distB="0" distL="0" distR="0">
            <wp:extent cx="4325760" cy="2880000"/>
            <wp:effectExtent l="0" t="0" r="0" b="0"/>
            <wp:docPr id="10" name="Imagem 3">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45C81E46-61C3-4B36-8ECF-BFAB4DD20DF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3">
                      <a:extLst>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45C81E46-61C3-4B36-8ECF-BFAB4DD20DFC}"/>
                        </a:ext>
                      </a:extLst>
                    </pic:cNvPr>
                    <pic:cNvPicPr>
                      <a:picLocks noChangeAspect="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25760" cy="2880000"/>
                    </a:xfrm>
                    <a:prstGeom prst="rect">
                      <a:avLst/>
                    </a:prstGeom>
                    <a:noFill/>
                    <a:ln>
                      <a:noFill/>
                    </a:ln>
                  </pic:spPr>
                </pic:pic>
              </a:graphicData>
            </a:graphic>
          </wp:inline>
        </w:drawing>
      </w:r>
    </w:p>
    <w:p w:rsidR="00ED01E5" w:rsidRPr="001835A1" w:rsidRDefault="00ED01E5" w:rsidP="00ED01E5">
      <w:pPr>
        <w:pStyle w:val="Legenda"/>
      </w:pPr>
      <w:bookmarkStart w:id="7" w:name="_Ref23099932"/>
      <w:r>
        <w:t xml:space="preserve">Figura </w:t>
      </w:r>
      <w:r w:rsidR="00874417">
        <w:fldChar w:fldCharType="begin"/>
      </w:r>
      <w:r>
        <w:instrText xml:space="preserve"> SEQ Figura \* ARABIC </w:instrText>
      </w:r>
      <w:r w:rsidR="00874417">
        <w:fldChar w:fldCharType="separate"/>
      </w:r>
      <w:r w:rsidR="007C2804">
        <w:rPr>
          <w:noProof/>
        </w:rPr>
        <w:t>2</w:t>
      </w:r>
      <w:r w:rsidR="00874417">
        <w:fldChar w:fldCharType="end"/>
      </w:r>
      <w:bookmarkEnd w:id="7"/>
      <w:r>
        <w:t xml:space="preserve">: </w:t>
      </w:r>
      <w:r w:rsidRPr="00ED01E5">
        <w:rPr>
          <w:b w:val="0"/>
          <w:bCs w:val="0"/>
        </w:rPr>
        <w:t>Região de posicionamento otimizado pela planilha.</w:t>
      </w:r>
    </w:p>
    <w:p w:rsidR="00474E67" w:rsidRDefault="00474E67" w:rsidP="00C8479C"/>
    <w:p w:rsidR="00474E67" w:rsidRDefault="00474E67" w:rsidP="00C8479C"/>
    <w:p w:rsidR="00726B2F" w:rsidRDefault="00D32A61" w:rsidP="00070488">
      <w:pPr>
        <w:pStyle w:val="Ttulo2"/>
      </w:pPr>
      <w:r w:rsidRPr="00D32A61">
        <w:t>Projeto de detecção com fluidodinâmica computacional (CFD)</w:t>
      </w:r>
    </w:p>
    <w:p w:rsidR="00DA793F" w:rsidRDefault="00DA793F" w:rsidP="00C538EB"/>
    <w:p w:rsidR="00DA793F" w:rsidRPr="00DA793F" w:rsidRDefault="00DA793F" w:rsidP="00DA793F">
      <w:r>
        <w:t>Nas simulações de CFD o</w:t>
      </w:r>
      <w:r w:rsidRPr="00DA793F">
        <w:t>s cenários são montados considerando os seguintes parâmetros:</w:t>
      </w:r>
    </w:p>
    <w:p w:rsidR="00DA793F" w:rsidRPr="00C538EB" w:rsidRDefault="00DA793F" w:rsidP="00E604F1">
      <w:pPr>
        <w:pStyle w:val="Itens"/>
        <w:numPr>
          <w:ilvl w:val="0"/>
          <w:numId w:val="22"/>
        </w:numPr>
        <w:ind w:left="993"/>
      </w:pPr>
      <w:r w:rsidRPr="00C538EB">
        <w:t>Pontos de vazamento: pode ser determinado utilizando algum estudo de risco existente ou que tenha sido adaptado para ser utilizado no estudo de dispersão de gases. Um destes estudos é a análise preliminar de risco</w:t>
      </w:r>
      <w:r w:rsidR="00576B8E" w:rsidRPr="00C538EB">
        <w:t xml:space="preserve"> (APR)</w:t>
      </w:r>
      <w:r w:rsidRPr="00C538EB">
        <w:t xml:space="preserve">, </w:t>
      </w:r>
      <w:r w:rsidR="00576B8E" w:rsidRPr="00C538EB">
        <w:t xml:space="preserve">onde os casos são classificados pela frequência de ocorrência e a severidade da consequência conforme pode ser observado na </w:t>
      </w:r>
      <w:fldSimple w:instr=" REF _Ref22493248 \h  \* MERGEFORMAT ">
        <w:r w:rsidR="007C2804">
          <w:t>Figura 3</w:t>
        </w:r>
      </w:fldSimple>
      <w:r w:rsidR="00576B8E" w:rsidRPr="00C538EB">
        <w:t>. A APR avalia as possíveis fontes de acidente e as principais salvaguardas necessárias para mitigá-los, tais como detectores de gases inflamáveis, tóxicos, detectores de fumaça, detectores de chama, sistema de combate a incêndio, etc. Possivelmente, seja por este motivo que esta técnica seja adotada para seleção dos cenários considerados no Estudos de dispersão de gases (</w:t>
      </w:r>
      <w:sdt>
        <w:sdtPr>
          <w:id w:val="-1380082767"/>
          <w:citation/>
        </w:sdtPr>
        <w:sdtContent>
          <w:r w:rsidR="00874417" w:rsidRPr="00C538EB">
            <w:fldChar w:fldCharType="begin"/>
          </w:r>
          <w:r w:rsidR="006D6FF4" w:rsidRPr="00C538EB">
            <w:instrText xml:space="preserve"> CITATION FLE08 \l 1046 </w:instrText>
          </w:r>
          <w:r w:rsidR="00874417" w:rsidRPr="00C538EB">
            <w:fldChar w:fldCharType="separate"/>
          </w:r>
          <w:r w:rsidR="00C205D9" w:rsidRPr="00C538EB">
            <w:t xml:space="preserve"> [11]</w:t>
          </w:r>
          <w:r w:rsidR="00874417" w:rsidRPr="00C538EB">
            <w:fldChar w:fldCharType="end"/>
          </w:r>
        </w:sdtContent>
      </w:sdt>
      <w:r w:rsidR="006D6FF4" w:rsidRPr="00C538EB">
        <w:t xml:space="preserve">; </w:t>
      </w:r>
      <w:sdt>
        <w:sdtPr>
          <w:id w:val="-1463880261"/>
          <w:citation/>
        </w:sdtPr>
        <w:sdtContent>
          <w:r w:rsidR="00874417" w:rsidRPr="00C538EB">
            <w:fldChar w:fldCharType="begin"/>
          </w:r>
          <w:r w:rsidR="006D6FF4" w:rsidRPr="00C538EB">
            <w:instrText xml:space="preserve"> CITATION GOM14 \l 1046 </w:instrText>
          </w:r>
          <w:r w:rsidR="00874417" w:rsidRPr="00C538EB">
            <w:fldChar w:fldCharType="separate"/>
          </w:r>
          <w:r w:rsidR="00C205D9" w:rsidRPr="00C538EB">
            <w:t>[13]</w:t>
          </w:r>
          <w:r w:rsidR="00874417" w:rsidRPr="00C538EB">
            <w:fldChar w:fldCharType="end"/>
          </w:r>
        </w:sdtContent>
      </w:sdt>
      <w:r w:rsidR="00576B8E" w:rsidRPr="00C538EB">
        <w:t xml:space="preserve">; </w:t>
      </w:r>
      <w:sdt>
        <w:sdtPr>
          <w:id w:val="-2063938467"/>
          <w:citation/>
        </w:sdtPr>
        <w:sdtContent>
          <w:r w:rsidR="00874417" w:rsidRPr="00C538EB">
            <w:fldChar w:fldCharType="begin"/>
          </w:r>
          <w:r w:rsidR="00DF4503" w:rsidRPr="00C538EB">
            <w:instrText xml:space="preserve"> CITATION VÁZ16 \l 1046 </w:instrText>
          </w:r>
          <w:r w:rsidR="00874417" w:rsidRPr="00C538EB">
            <w:fldChar w:fldCharType="separate"/>
          </w:r>
          <w:r w:rsidR="00C205D9" w:rsidRPr="00C538EB">
            <w:t>[14]</w:t>
          </w:r>
          <w:r w:rsidR="00874417" w:rsidRPr="00C538EB">
            <w:fldChar w:fldCharType="end"/>
          </w:r>
        </w:sdtContent>
      </w:sdt>
      <w:r w:rsidR="00DF4503" w:rsidRPr="00C538EB">
        <w:t xml:space="preserve"> e</w:t>
      </w:r>
      <w:sdt>
        <w:sdtPr>
          <w:id w:val="27840371"/>
          <w:citation/>
        </w:sdtPr>
        <w:sdtContent>
          <w:r w:rsidR="00874417" w:rsidRPr="00C538EB">
            <w:fldChar w:fldCharType="begin"/>
          </w:r>
          <w:r w:rsidR="00DF4503" w:rsidRPr="00C538EB">
            <w:instrText xml:space="preserve"> CITATION CEN18 \l 1046 </w:instrText>
          </w:r>
          <w:r w:rsidR="00874417" w:rsidRPr="00C538EB">
            <w:fldChar w:fldCharType="separate"/>
          </w:r>
          <w:r w:rsidR="00C205D9" w:rsidRPr="00C538EB">
            <w:t xml:space="preserve"> [15]</w:t>
          </w:r>
          <w:r w:rsidR="00874417" w:rsidRPr="00C538EB">
            <w:fldChar w:fldCharType="end"/>
          </w:r>
        </w:sdtContent>
      </w:sdt>
      <w:r w:rsidR="00576B8E" w:rsidRPr="00C538EB">
        <w:t>).</w:t>
      </w:r>
    </w:p>
    <w:p w:rsidR="00576B8E" w:rsidRDefault="00576B8E" w:rsidP="00576B8E"/>
    <w:p w:rsidR="00576B8E" w:rsidRDefault="00576B8E" w:rsidP="000D10E0">
      <w:pPr>
        <w:pStyle w:val="Figura"/>
      </w:pPr>
      <w:r w:rsidRPr="00576B8E">
        <w:drawing>
          <wp:inline distT="0" distB="0" distL="0" distR="0">
            <wp:extent cx="4164965" cy="158750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b="15531"/>
                    <a:stretch/>
                  </pic:blipFill>
                  <pic:spPr bwMode="auto">
                    <a:xfrm>
                      <a:off x="0" y="0"/>
                      <a:ext cx="4167878" cy="158861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576B8E" w:rsidRDefault="00576B8E" w:rsidP="00576B8E">
      <w:pPr>
        <w:pStyle w:val="Legenda"/>
      </w:pPr>
      <w:bookmarkStart w:id="8" w:name="_Ref22493248"/>
      <w:r>
        <w:t xml:space="preserve">Figura </w:t>
      </w:r>
      <w:r w:rsidR="00874417">
        <w:fldChar w:fldCharType="begin"/>
      </w:r>
      <w:r>
        <w:instrText xml:space="preserve"> SEQ Figura \* ARABIC </w:instrText>
      </w:r>
      <w:r w:rsidR="00874417">
        <w:fldChar w:fldCharType="separate"/>
      </w:r>
      <w:r w:rsidR="007C2804">
        <w:rPr>
          <w:noProof/>
        </w:rPr>
        <w:t>3</w:t>
      </w:r>
      <w:r w:rsidR="00874417">
        <w:fldChar w:fldCharType="end"/>
      </w:r>
      <w:bookmarkEnd w:id="8"/>
      <w:r>
        <w:t xml:space="preserve">: </w:t>
      </w:r>
      <w:r w:rsidRPr="00576B8E">
        <w:rPr>
          <w:b w:val="0"/>
          <w:bCs w:val="0"/>
        </w:rPr>
        <w:t>Matriz de risco para as classificações tolerável (T), moderado (M) e não tolerável (NT)</w:t>
      </w:r>
    </w:p>
    <w:p w:rsidR="00576B8E" w:rsidRDefault="00576B8E" w:rsidP="00C538EB"/>
    <w:p w:rsidR="00DA793F" w:rsidRDefault="00DA793F" w:rsidP="00C538EB">
      <w:pPr>
        <w:pStyle w:val="Itens"/>
      </w:pPr>
      <w:r w:rsidRPr="00DA793F">
        <w:t>direção do vazamento</w:t>
      </w:r>
      <w:r w:rsidR="001D2411">
        <w:t xml:space="preserve">: </w:t>
      </w:r>
      <w:r w:rsidR="00864939">
        <w:t xml:space="preserve">A direção do jato do vazamento pode ocorrer em todas as direções. Entretanto, </w:t>
      </w:r>
      <w:r w:rsidR="000D10E0">
        <w:t>sendo o costado do equipamento a fonte do vazamento p</w:t>
      </w:r>
      <w:r w:rsidR="00864939">
        <w:t xml:space="preserve">oderemos considerar </w:t>
      </w:r>
      <w:proofErr w:type="gramStart"/>
      <w:r w:rsidR="00864939">
        <w:t>6</w:t>
      </w:r>
      <w:proofErr w:type="gramEnd"/>
      <w:r w:rsidR="00864939">
        <w:t xml:space="preserve"> direções, como apresentado na </w:t>
      </w:r>
      <w:r w:rsidR="00874417">
        <w:fldChar w:fldCharType="begin"/>
      </w:r>
      <w:r w:rsidR="00DF42FB">
        <w:instrText xml:space="preserve"> REF _Ref22488459 \h </w:instrText>
      </w:r>
      <w:r w:rsidR="00874417">
        <w:fldChar w:fldCharType="separate"/>
      </w:r>
      <w:r w:rsidR="007C2804">
        <w:t xml:space="preserve">Figura </w:t>
      </w:r>
      <w:r w:rsidR="007C2804">
        <w:rPr>
          <w:noProof/>
        </w:rPr>
        <w:t>4</w:t>
      </w:r>
      <w:r w:rsidR="00874417">
        <w:fldChar w:fldCharType="end"/>
      </w:r>
      <w:r w:rsidR="00DF42FB">
        <w:t xml:space="preserve"> (a)</w:t>
      </w:r>
      <w:r w:rsidR="000D10E0">
        <w:t xml:space="preserve">, já os </w:t>
      </w:r>
      <w:r w:rsidR="00864939">
        <w:t>vazamento</w:t>
      </w:r>
      <w:r w:rsidR="000D10E0">
        <w:t>s</w:t>
      </w:r>
      <w:r w:rsidR="00864939">
        <w:t xml:space="preserve"> em flanges</w:t>
      </w:r>
      <w:r w:rsidR="000D10E0">
        <w:t xml:space="preserve"> são</w:t>
      </w:r>
      <w:r w:rsidR="00864939">
        <w:t xml:space="preserve"> limitados a 4 direções em relação ao plano do mesmo, </w:t>
      </w:r>
      <w:r w:rsidR="00874417">
        <w:fldChar w:fldCharType="begin"/>
      </w:r>
      <w:r w:rsidR="00DF42FB">
        <w:instrText xml:space="preserve"> REF _Ref22488459 \h </w:instrText>
      </w:r>
      <w:r w:rsidR="00874417">
        <w:fldChar w:fldCharType="separate"/>
      </w:r>
      <w:r w:rsidR="007C2804">
        <w:t xml:space="preserve">Figura </w:t>
      </w:r>
      <w:r w:rsidR="007C2804">
        <w:rPr>
          <w:noProof/>
        </w:rPr>
        <w:t>4</w:t>
      </w:r>
      <w:r w:rsidR="00874417">
        <w:fldChar w:fldCharType="end"/>
      </w:r>
      <w:r w:rsidR="00DF42FB">
        <w:t xml:space="preserve"> (b).</w:t>
      </w:r>
    </w:p>
    <w:p w:rsidR="00864939" w:rsidRDefault="00864939" w:rsidP="00BB7A66"/>
    <w:tbl>
      <w:tblPr>
        <w:tblStyle w:val="Tabelacomgrade"/>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70"/>
        <w:gridCol w:w="5177"/>
      </w:tblGrid>
      <w:tr w:rsidR="00864939" w:rsidTr="00864939">
        <w:tc>
          <w:tcPr>
            <w:tcW w:w="4814" w:type="dxa"/>
          </w:tcPr>
          <w:p w:rsidR="00864939" w:rsidRDefault="00864939" w:rsidP="00BB7A66">
            <w:r w:rsidRPr="00864939">
              <w:rPr>
                <w:noProof/>
                <w:lang w:eastAsia="pt-BR"/>
              </w:rPr>
              <w:drawing>
                <wp:inline distT="0" distB="0" distL="0" distR="0">
                  <wp:extent cx="1556359" cy="1570471"/>
                  <wp:effectExtent l="0" t="0" r="6350" b="0"/>
                  <wp:docPr id="14" name="Imagem 13">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A274F5CB-A312-4CF8-81F4-D567C1CD317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m 13">
                            <a:extLst>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A274F5CB-A312-4CF8-81F4-D567C1CD317E}"/>
                              </a:ext>
                            </a:extLst>
                          </pic:cNvPr>
                          <pic:cNvPicPr>
                            <a:picLocks noChangeAspect="1"/>
                          </pic:cNvPicPr>
                        </pic:nvPicPr>
                        <pic:blipFill rotWithShape="1">
                          <a:blip r:embed="rId13" cstate="print"/>
                          <a:srcRect r="19354"/>
                          <a:stretch/>
                        </pic:blipFill>
                        <pic:spPr>
                          <a:xfrm>
                            <a:off x="0" y="0"/>
                            <a:ext cx="1556359" cy="1570471"/>
                          </a:xfrm>
                          <a:prstGeom prst="rect">
                            <a:avLst/>
                          </a:prstGeom>
                        </pic:spPr>
                      </pic:pic>
                    </a:graphicData>
                  </a:graphic>
                </wp:inline>
              </w:drawing>
            </w:r>
          </w:p>
        </w:tc>
        <w:tc>
          <w:tcPr>
            <w:tcW w:w="4815" w:type="dxa"/>
          </w:tcPr>
          <w:p w:rsidR="00864939" w:rsidRDefault="00864939" w:rsidP="00BB7A66">
            <w:r w:rsidRPr="00864939">
              <w:rPr>
                <w:noProof/>
                <w:lang w:eastAsia="pt-BR"/>
              </w:rPr>
              <w:drawing>
                <wp:inline distT="0" distB="0" distL="0" distR="0">
                  <wp:extent cx="3149982" cy="2059013"/>
                  <wp:effectExtent l="0" t="0" r="0" b="0"/>
                  <wp:docPr id="13" name="Imagem 12">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546F1F93-2C7E-4E7F-A4CF-BDF96DAAE02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m 12">
                            <a:extLst>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546F1F93-2C7E-4E7F-A4CF-BDF96DAAE024}"/>
                              </a:ext>
                            </a:extLst>
                          </pic:cNvPr>
                          <pic:cNvPicPr>
                            <a:picLocks noChangeAspect="1"/>
                          </pic:cNvPicPr>
                        </pic:nvPicPr>
                        <pic:blipFill>
                          <a:blip r:embed="rId14" cstate="print"/>
                          <a:stretch>
                            <a:fillRect/>
                          </a:stretch>
                        </pic:blipFill>
                        <pic:spPr>
                          <a:xfrm>
                            <a:off x="0" y="0"/>
                            <a:ext cx="3149982" cy="2059013"/>
                          </a:xfrm>
                          <a:prstGeom prst="rect">
                            <a:avLst/>
                          </a:prstGeom>
                        </pic:spPr>
                      </pic:pic>
                    </a:graphicData>
                  </a:graphic>
                </wp:inline>
              </w:drawing>
            </w:r>
          </w:p>
        </w:tc>
      </w:tr>
      <w:tr w:rsidR="00864939" w:rsidTr="00864939">
        <w:tc>
          <w:tcPr>
            <w:tcW w:w="4814" w:type="dxa"/>
          </w:tcPr>
          <w:p w:rsidR="00864939" w:rsidRDefault="00864939" w:rsidP="00BB7A66">
            <w:r>
              <w:t>(a)</w:t>
            </w:r>
          </w:p>
        </w:tc>
        <w:tc>
          <w:tcPr>
            <w:tcW w:w="4815" w:type="dxa"/>
          </w:tcPr>
          <w:p w:rsidR="00864939" w:rsidRDefault="00864939" w:rsidP="00BB7A66">
            <w:r>
              <w:t>(b)</w:t>
            </w:r>
          </w:p>
        </w:tc>
      </w:tr>
    </w:tbl>
    <w:p w:rsidR="00864939" w:rsidRPr="00864939" w:rsidRDefault="00864939" w:rsidP="00864939">
      <w:pPr>
        <w:pStyle w:val="Legenda"/>
        <w:rPr>
          <w:b w:val="0"/>
          <w:bCs w:val="0"/>
        </w:rPr>
      </w:pPr>
      <w:bookmarkStart w:id="9" w:name="_Ref22488459"/>
      <w:r>
        <w:t xml:space="preserve">Figura </w:t>
      </w:r>
      <w:r w:rsidR="00874417">
        <w:fldChar w:fldCharType="begin"/>
      </w:r>
      <w:r>
        <w:instrText xml:space="preserve"> SEQ Figura \* ARABIC </w:instrText>
      </w:r>
      <w:r w:rsidR="00874417">
        <w:fldChar w:fldCharType="separate"/>
      </w:r>
      <w:r w:rsidR="007C2804">
        <w:rPr>
          <w:noProof/>
        </w:rPr>
        <w:t>4</w:t>
      </w:r>
      <w:r w:rsidR="00874417">
        <w:fldChar w:fldCharType="end"/>
      </w:r>
      <w:bookmarkEnd w:id="9"/>
      <w:r>
        <w:t xml:space="preserve">: </w:t>
      </w:r>
      <w:r w:rsidRPr="00864939">
        <w:rPr>
          <w:b w:val="0"/>
          <w:bCs w:val="0"/>
        </w:rPr>
        <w:t>Direçõ</w:t>
      </w:r>
      <w:r>
        <w:rPr>
          <w:b w:val="0"/>
          <w:bCs w:val="0"/>
        </w:rPr>
        <w:t>e</w:t>
      </w:r>
      <w:r w:rsidRPr="00864939">
        <w:rPr>
          <w:b w:val="0"/>
          <w:bCs w:val="0"/>
        </w:rPr>
        <w:t>s de vazamento localizado em costado de equipamento (a) e em flange (b).</w:t>
      </w:r>
    </w:p>
    <w:p w:rsidR="00DA793F" w:rsidRDefault="00DA793F" w:rsidP="00C538EB">
      <w:pPr>
        <w:pStyle w:val="Itens"/>
      </w:pPr>
      <w:proofErr w:type="gramStart"/>
      <w:r w:rsidRPr="00DA793F">
        <w:t>velocidade</w:t>
      </w:r>
      <w:proofErr w:type="gramEnd"/>
      <w:r w:rsidR="00D80F50">
        <w:t xml:space="preserve">,direção </w:t>
      </w:r>
      <w:r w:rsidRPr="00DA793F">
        <w:t>e frequência do vento</w:t>
      </w:r>
      <w:r w:rsidR="00DF42FB">
        <w:t xml:space="preserve">: </w:t>
      </w:r>
      <w:r w:rsidR="00615CFF">
        <w:t xml:space="preserve">estes dados são obtidos através dos dados meteorológicos </w:t>
      </w:r>
      <w:r w:rsidR="000D10E0">
        <w:t xml:space="preserve">oriundos </w:t>
      </w:r>
      <w:r w:rsidR="00615CFF">
        <w:t xml:space="preserve">de estações meteorológicas, </w:t>
      </w:r>
      <w:r w:rsidR="00B11DBF">
        <w:t>onde o resultado pode ser condensado na distribuição de probabilidade de vento</w:t>
      </w:r>
      <w:r w:rsidR="00D80F50">
        <w:t xml:space="preserve">, </w:t>
      </w:r>
      <w:r w:rsidR="00874417">
        <w:fldChar w:fldCharType="begin"/>
      </w:r>
      <w:r w:rsidR="00D80F50">
        <w:instrText xml:space="preserve"> REF _Ref22494452 \h </w:instrText>
      </w:r>
      <w:r w:rsidR="00874417">
        <w:fldChar w:fldCharType="separate"/>
      </w:r>
      <w:r w:rsidR="007C2804">
        <w:t xml:space="preserve">Figura </w:t>
      </w:r>
      <w:r w:rsidR="007C2804">
        <w:rPr>
          <w:noProof/>
        </w:rPr>
        <w:t>5</w:t>
      </w:r>
      <w:r w:rsidR="00874417">
        <w:fldChar w:fldCharType="end"/>
      </w:r>
      <w:r w:rsidR="00D80F50">
        <w:t xml:space="preserve">. Além do mais, com estes dados são obtidas a </w:t>
      </w:r>
      <w:r w:rsidR="00D80F50">
        <w:lastRenderedPageBreak/>
        <w:t xml:space="preserve">direção preferencial e a probabilidades de ocorrência dos ventos em relação a sua direção e velocidade. </w:t>
      </w:r>
    </w:p>
    <w:p w:rsidR="00615CFF" w:rsidRDefault="00615CFF" w:rsidP="000D10E0">
      <w:pPr>
        <w:pStyle w:val="Figura"/>
      </w:pPr>
      <w:r w:rsidRPr="000D10E0">
        <w:drawing>
          <wp:inline distT="0" distB="0" distL="0" distR="0">
            <wp:extent cx="2096793" cy="1639311"/>
            <wp:effectExtent l="133350" t="114300" r="132080" b="170815"/>
            <wp:docPr id="9" name="Imagem 8">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BFFD250B-CDE7-4752-B5B5-399AB0F5F90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8">
                      <a:extLst>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BFFD250B-CDE7-4752-B5B5-399AB0F5F904}"/>
                        </a:ext>
                      </a:extLst>
                    </pic:cNvPr>
                    <pic:cNvPicPr>
                      <a:picLocks noChangeAspect="1"/>
                    </pic:cNvPicPr>
                  </pic:nvPicPr>
                  <pic:blipFill>
                    <a:blip r:embed="rId15"/>
                    <a:stretch>
                      <a:fillRect/>
                    </a:stretch>
                  </pic:blipFill>
                  <pic:spPr>
                    <a:xfrm>
                      <a:off x="0" y="0"/>
                      <a:ext cx="2096793" cy="1639311"/>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615CFF" w:rsidRDefault="00615CFF" w:rsidP="00615CFF">
      <w:pPr>
        <w:pStyle w:val="Legenda"/>
      </w:pPr>
      <w:bookmarkStart w:id="10" w:name="_Ref22494452"/>
      <w:r>
        <w:t xml:space="preserve">Figura </w:t>
      </w:r>
      <w:r w:rsidR="00874417">
        <w:fldChar w:fldCharType="begin"/>
      </w:r>
      <w:r>
        <w:instrText xml:space="preserve"> SEQ Figura \* ARABIC </w:instrText>
      </w:r>
      <w:r w:rsidR="00874417">
        <w:fldChar w:fldCharType="separate"/>
      </w:r>
      <w:r w:rsidR="007C2804">
        <w:rPr>
          <w:noProof/>
        </w:rPr>
        <w:t>5</w:t>
      </w:r>
      <w:r w:rsidR="00874417">
        <w:fldChar w:fldCharType="end"/>
      </w:r>
      <w:bookmarkEnd w:id="10"/>
      <w:r>
        <w:t xml:space="preserve">: </w:t>
      </w:r>
      <w:r w:rsidRPr="000D10E0">
        <w:rPr>
          <w:b w:val="0"/>
          <w:bCs w:val="0"/>
        </w:rPr>
        <w:t>Distribuição de probabilidade de vento</w:t>
      </w:r>
      <w:r w:rsidR="000D10E0">
        <w:rPr>
          <w:b w:val="0"/>
          <w:bCs w:val="0"/>
        </w:rPr>
        <w:t>.</w:t>
      </w:r>
    </w:p>
    <w:p w:rsidR="00615CFF" w:rsidRPr="00DA793F" w:rsidRDefault="00615CFF" w:rsidP="00BB7A66"/>
    <w:p w:rsidR="00DA793F" w:rsidRDefault="00DA793F" w:rsidP="00C538EB">
      <w:pPr>
        <w:pStyle w:val="Itens"/>
      </w:pPr>
      <w:r w:rsidRPr="00DA793F">
        <w:t>composição do gás</w:t>
      </w:r>
      <w:r w:rsidR="00D80F50">
        <w:t xml:space="preserve"> e </w:t>
      </w:r>
      <w:r w:rsidR="00D80F50" w:rsidRPr="00DA793F">
        <w:t>condições de operação do equipamento:</w:t>
      </w:r>
      <w:r w:rsidR="00D80F50">
        <w:t xml:space="preserve"> obtido na documentação de balanço de massa e fluxogramas do processo (</w:t>
      </w:r>
      <w:r w:rsidR="00D80F50" w:rsidRPr="00DA793F">
        <w:t>ex. pressão, temperatura, vazão e volume);</w:t>
      </w:r>
    </w:p>
    <w:p w:rsidR="00D80F50" w:rsidRPr="00DA793F" w:rsidRDefault="00D80F50" w:rsidP="00BB7A66"/>
    <w:p w:rsidR="00DA793F" w:rsidRPr="006718A7" w:rsidRDefault="00DA793F" w:rsidP="00C538EB">
      <w:pPr>
        <w:pStyle w:val="Itens"/>
      </w:pPr>
      <w:r w:rsidRPr="00DA793F">
        <w:t>tamanho e geometria do furo</w:t>
      </w:r>
      <w:r w:rsidR="00D80F50">
        <w:t xml:space="preserve">: são obtidos através de bancos de dados de </w:t>
      </w:r>
      <w:r w:rsidR="006718A7">
        <w:t>vazamentos como</w:t>
      </w:r>
      <w:r w:rsidR="00D80F50">
        <w:t xml:space="preserve"> o HCRD (do inglês </w:t>
      </w:r>
      <w:proofErr w:type="spellStart"/>
      <w:r w:rsidR="00D80F50">
        <w:rPr>
          <w:i/>
          <w:iCs/>
        </w:rPr>
        <w:t>hydrocarbon</w:t>
      </w:r>
      <w:proofErr w:type="spellEnd"/>
      <w:r w:rsidR="00D80F50">
        <w:rPr>
          <w:i/>
          <w:iCs/>
        </w:rPr>
        <w:t xml:space="preserve"> release database</w:t>
      </w:r>
      <w:r w:rsidR="00D80F50">
        <w:t>)</w:t>
      </w:r>
      <w:sdt>
        <w:sdtPr>
          <w:id w:val="1706673898"/>
          <w:citation/>
        </w:sdtPr>
        <w:sdtContent>
          <w:r w:rsidR="00874417">
            <w:fldChar w:fldCharType="begin"/>
          </w:r>
          <w:r w:rsidR="006718A7">
            <w:instrText xml:space="preserve"> CITATION HEA02 \l 1046 </w:instrText>
          </w:r>
          <w:r w:rsidR="00874417">
            <w:fldChar w:fldCharType="separate"/>
          </w:r>
          <w:r w:rsidR="00C205D9" w:rsidRPr="00C205D9">
            <w:rPr>
              <w:noProof/>
            </w:rPr>
            <w:t>[16]</w:t>
          </w:r>
          <w:r w:rsidR="00874417">
            <w:fldChar w:fldCharType="end"/>
          </w:r>
        </w:sdtContent>
      </w:sdt>
      <w:r w:rsidR="006718A7">
        <w:t xml:space="preserve"> e </w:t>
      </w:r>
      <w:sdt>
        <w:sdtPr>
          <w:id w:val="-1258131578"/>
          <w:citation/>
        </w:sdtPr>
        <w:sdtContent>
          <w:r w:rsidR="00874417">
            <w:fldChar w:fldCharType="begin"/>
          </w:r>
          <w:r w:rsidR="006718A7">
            <w:instrText xml:space="preserve"> CITATION DNV13 \l 1046 </w:instrText>
          </w:r>
          <w:r w:rsidR="00874417">
            <w:fldChar w:fldCharType="separate"/>
          </w:r>
          <w:r w:rsidR="00C205D9" w:rsidRPr="00C205D9">
            <w:rPr>
              <w:noProof/>
            </w:rPr>
            <w:t>[17]</w:t>
          </w:r>
          <w:r w:rsidR="00874417">
            <w:fldChar w:fldCharType="end"/>
          </w:r>
        </w:sdtContent>
      </w:sdt>
      <w:r w:rsidR="006718A7">
        <w:t>.</w:t>
      </w:r>
    </w:p>
    <w:p w:rsidR="006718A7" w:rsidRPr="00DA793F" w:rsidRDefault="006718A7" w:rsidP="00BB7A66"/>
    <w:p w:rsidR="00DA793F" w:rsidRPr="006718A7" w:rsidRDefault="00DA793F" w:rsidP="00C538EB">
      <w:pPr>
        <w:pStyle w:val="Itens"/>
      </w:pPr>
      <w:r w:rsidRPr="00DA793F">
        <w:t>taxa de liberação</w:t>
      </w:r>
      <w:r w:rsidR="006718A7">
        <w:t xml:space="preserve">: O modelo de liberação em fase gasosa estabelece uma função para a vazão mássica de gás que é dependente de condições geométricas do furo e condições de operação, tais como pressão, temperatura e composição. </w:t>
      </w:r>
      <w:r w:rsidR="006718A7" w:rsidRPr="006718A7">
        <w:t xml:space="preserve">A vazão mássica para o vazamento de gás através de um orifício, </w:t>
      </w:r>
      <m:oMath>
        <m:sSub>
          <m:sSubPr>
            <m:ctrlPr>
              <w:rPr>
                <w:rFonts w:ascii="Cambria Math" w:hAnsi="Cambria Math"/>
              </w:rPr>
            </m:ctrlPr>
          </m:sSubPr>
          <m:e>
            <m:r>
              <w:rPr>
                <w:rFonts w:ascii="Cambria Math" w:hAnsi="Cambria Math"/>
              </w:rPr>
              <m:t>q</m:t>
            </m:r>
          </m:e>
          <m:sub>
            <m:r>
              <w:rPr>
                <w:rFonts w:ascii="Cambria Math" w:hAnsi="Cambria Math"/>
              </w:rPr>
              <m:t>s</m:t>
            </m:r>
          </m:sub>
        </m:sSub>
      </m:oMath>
      <w:r w:rsidR="006718A7" w:rsidRPr="006718A7">
        <w:t xml:space="preserve">,  pode ser estimada pela Equação (1), conforme apresentado em </w:t>
      </w:r>
      <w:sdt>
        <w:sdtPr>
          <w:id w:val="-1160768667"/>
          <w:citation/>
        </w:sdtPr>
        <w:sdtContent>
          <w:r w:rsidR="00874417">
            <w:fldChar w:fldCharType="begin"/>
          </w:r>
          <w:r w:rsidR="00FA53ED">
            <w:instrText xml:space="preserve"> CITATION TNO15 \l 1046 </w:instrText>
          </w:r>
          <w:r w:rsidR="00874417">
            <w:fldChar w:fldCharType="separate"/>
          </w:r>
          <w:r w:rsidR="00C205D9" w:rsidRPr="00C205D9">
            <w:rPr>
              <w:noProof/>
            </w:rPr>
            <w:t>[18]</w:t>
          </w:r>
          <w:r w:rsidR="00874417">
            <w:fldChar w:fldCharType="end"/>
          </w:r>
        </w:sdtContent>
      </w:sdt>
    </w:p>
    <w:p w:rsidR="006718A7" w:rsidRDefault="006718A7" w:rsidP="006718A7">
      <w:pPr>
        <w:pStyle w:val="PargrafodaLista"/>
      </w:pPr>
    </w:p>
    <w:p w:rsidR="006718A7" w:rsidRDefault="006718A7" w:rsidP="00BB7A66"/>
    <w:tbl>
      <w:tblPr>
        <w:tblStyle w:val="Tabelacomgrade"/>
        <w:tblW w:w="8930"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080"/>
        <w:gridCol w:w="850"/>
      </w:tblGrid>
      <w:tr w:rsidR="006718A7" w:rsidRPr="00F33067" w:rsidTr="006718A7">
        <w:tc>
          <w:tcPr>
            <w:tcW w:w="8080" w:type="dxa"/>
          </w:tcPr>
          <w:p w:rsidR="006718A7" w:rsidRPr="00EE4E38" w:rsidRDefault="00874417" w:rsidP="00241257">
            <w:pPr>
              <w:pStyle w:val="corpodotexto"/>
            </w:pPr>
            <m:oMathPara>
              <m:oMath>
                <m:sSub>
                  <m:sSubPr>
                    <m:ctrlPr/>
                  </m:sSubPr>
                  <m:e>
                    <m:r>
                      <m:t>q</m:t>
                    </m:r>
                  </m:e>
                  <m:sub>
                    <m:r>
                      <m:t>s</m:t>
                    </m:r>
                  </m:sub>
                </m:sSub>
                <m:r>
                  <m:t>=</m:t>
                </m:r>
                <m:sSub>
                  <m:sSubPr>
                    <m:ctrlPr/>
                  </m:sSubPr>
                  <m:e>
                    <m:r>
                      <m:t>C</m:t>
                    </m:r>
                  </m:e>
                  <m:sub>
                    <m:r>
                      <m:t>d</m:t>
                    </m:r>
                  </m:sub>
                </m:sSub>
                <m:sSub>
                  <m:sSubPr>
                    <m:ctrlPr/>
                  </m:sSubPr>
                  <m:e>
                    <m:r>
                      <m:t>A</m:t>
                    </m:r>
                  </m:e>
                  <m:sub>
                    <m:r>
                      <m:t>f</m:t>
                    </m:r>
                  </m:sub>
                </m:sSub>
                <m:r>
                  <m:t>ψ</m:t>
                </m:r>
                <m:rad>
                  <m:radPr>
                    <m:degHide m:val="on"/>
                    <m:ctrlPr/>
                  </m:radPr>
                  <m:deg/>
                  <m:e>
                    <m:sSub>
                      <m:sSubPr>
                        <m:ctrlPr/>
                      </m:sSubPr>
                      <m:e>
                        <m:r>
                          <m:t>ρ</m:t>
                        </m:r>
                      </m:e>
                      <m:sub>
                        <m:r>
                          <m:t>0</m:t>
                        </m:r>
                      </m:sub>
                    </m:sSub>
                    <m:sSub>
                      <m:sSubPr>
                        <m:ctrlPr/>
                      </m:sSubPr>
                      <m:e>
                        <m:r>
                          <m:t>P</m:t>
                        </m:r>
                      </m:e>
                      <m:sub>
                        <m:r>
                          <m:t>0</m:t>
                        </m:r>
                      </m:sub>
                    </m:sSub>
                    <m:r>
                      <m:t>γ</m:t>
                    </m:r>
                    <m:sSup>
                      <m:sSupPr>
                        <m:ctrlPr/>
                      </m:sSupPr>
                      <m:e>
                        <m:d>
                          <m:dPr>
                            <m:ctrlPr/>
                          </m:dPr>
                          <m:e>
                            <m:f>
                              <m:fPr>
                                <m:ctrlPr/>
                              </m:fPr>
                              <m:num>
                                <m:r>
                                  <m:t>2</m:t>
                                </m:r>
                              </m:num>
                              <m:den>
                                <m:r>
                                  <m:t>γ+1</m:t>
                                </m:r>
                              </m:den>
                            </m:f>
                          </m:e>
                        </m:d>
                      </m:e>
                      <m:sup>
                        <m:d>
                          <m:dPr>
                            <m:ctrlPr/>
                          </m:dPr>
                          <m:e>
                            <m:f>
                              <m:fPr>
                                <m:ctrlPr/>
                              </m:fPr>
                              <m:num>
                                <m:r>
                                  <m:t>γ+1</m:t>
                                </m:r>
                              </m:num>
                              <m:den>
                                <m:r>
                                  <m:t>γ-1</m:t>
                                </m:r>
                              </m:den>
                            </m:f>
                          </m:e>
                        </m:d>
                      </m:sup>
                    </m:sSup>
                  </m:e>
                </m:rad>
              </m:oMath>
            </m:oMathPara>
          </w:p>
        </w:tc>
        <w:tc>
          <w:tcPr>
            <w:tcW w:w="850" w:type="dxa"/>
            <w:vAlign w:val="center"/>
          </w:tcPr>
          <w:p w:rsidR="006718A7" w:rsidRPr="00F33067" w:rsidRDefault="006718A7" w:rsidP="006718A7">
            <w:pPr>
              <w:spacing w:after="201"/>
              <w:ind w:firstLine="0"/>
            </w:pPr>
            <w:bookmarkStart w:id="11" w:name="_Ref535828310"/>
            <w:bookmarkStart w:id="12" w:name="_Ref18571570"/>
            <w:r w:rsidRPr="00F33067">
              <w:t>(</w:t>
            </w:r>
            <w:r w:rsidR="00874417">
              <w:fldChar w:fldCharType="begin"/>
            </w:r>
            <w:r>
              <w:instrText xml:space="preserve"> SEQ Equação \* ARABIC </w:instrText>
            </w:r>
            <w:r w:rsidR="00874417">
              <w:fldChar w:fldCharType="separate"/>
            </w:r>
            <w:r w:rsidR="007C2804">
              <w:rPr>
                <w:noProof/>
              </w:rPr>
              <w:t>5</w:t>
            </w:r>
            <w:r w:rsidR="00874417">
              <w:rPr>
                <w:noProof/>
              </w:rPr>
              <w:fldChar w:fldCharType="end"/>
            </w:r>
            <w:bookmarkStart w:id="13" w:name="_Ref535828317"/>
            <w:bookmarkEnd w:id="11"/>
            <w:r w:rsidRPr="00F33067">
              <w:t>)</w:t>
            </w:r>
            <w:bookmarkEnd w:id="12"/>
            <w:bookmarkEnd w:id="13"/>
          </w:p>
        </w:tc>
      </w:tr>
    </w:tbl>
    <w:p w:rsidR="006718A7" w:rsidRDefault="006718A7" w:rsidP="00BB7A66">
      <w:r>
        <w:t xml:space="preserve">em que </w:t>
      </w:r>
      <m:oMath>
        <m:sSub>
          <m:sSubPr>
            <m:ctrlPr>
              <w:rPr>
                <w:rFonts w:ascii="Cambria Math" w:hAnsi="Cambria Math"/>
              </w:rPr>
            </m:ctrlPr>
          </m:sSubPr>
          <m:e>
            <m:r>
              <w:rPr>
                <w:rFonts w:ascii="Cambria Math" w:hAnsi="Cambria Math"/>
              </w:rPr>
              <m:t>q</m:t>
            </m:r>
          </m:e>
          <m:sub>
            <m:r>
              <w:rPr>
                <w:rFonts w:ascii="Cambria Math" w:hAnsi="Cambria Math"/>
              </w:rPr>
              <m:t>s</m:t>
            </m:r>
          </m:sub>
        </m:sSub>
      </m:oMath>
      <w:r>
        <w:t xml:space="preserve"> é a </w:t>
      </w:r>
      <w:r w:rsidRPr="00F33067">
        <w:t>vazão mássica de gás(kg/s)</w:t>
      </w:r>
      <w:r>
        <w:t xml:space="preserve">, </w:t>
      </w:r>
      <m:oMath>
        <m:sSub>
          <m:sSubPr>
            <m:ctrlPr>
              <w:rPr>
                <w:rFonts w:ascii="Cambria Math" w:hAnsi="Cambria Math"/>
              </w:rPr>
            </m:ctrlPr>
          </m:sSubPr>
          <m:e>
            <m:r>
              <w:rPr>
                <w:rFonts w:ascii="Cambria Math" w:hAnsi="Cambria Math"/>
              </w:rPr>
              <m:t>C</m:t>
            </m:r>
          </m:e>
          <m:sub>
            <m:r>
              <w:rPr>
                <w:rFonts w:ascii="Cambria Math" w:hAnsi="Cambria Math"/>
              </w:rPr>
              <m:t>d</m:t>
            </m:r>
          </m:sub>
        </m:sSub>
      </m:oMath>
      <w:r>
        <w:t xml:space="preserve"> é o </w:t>
      </w:r>
      <w:r w:rsidRPr="00F33067">
        <w:t>coeficiente de descarga(-)</w:t>
      </w:r>
      <w:r>
        <w:t xml:space="preserve">, </w:t>
      </w:r>
      <m:oMath>
        <m:sSub>
          <m:sSubPr>
            <m:ctrlPr>
              <w:rPr>
                <w:rFonts w:ascii="Cambria Math" w:hAnsi="Cambria Math"/>
              </w:rPr>
            </m:ctrlPr>
          </m:sSubPr>
          <m:e>
            <m:r>
              <w:rPr>
                <w:rFonts w:ascii="Cambria Math" w:hAnsi="Cambria Math"/>
              </w:rPr>
              <m:t>A</m:t>
            </m:r>
          </m:e>
          <m:sub>
            <m:r>
              <w:rPr>
                <w:rFonts w:ascii="Cambria Math" w:hAnsi="Cambria Math"/>
              </w:rPr>
              <m:t>f</m:t>
            </m:r>
          </m:sub>
        </m:sSub>
      </m:oMath>
      <w:r>
        <w:t xml:space="preserve"> é </w:t>
      </w:r>
      <w:r w:rsidRPr="00F33067">
        <w:t>área do orifício ou furo(m²)</w:t>
      </w:r>
      <w:r>
        <w:t xml:space="preserve">, </w:t>
      </w:r>
      <m:oMath>
        <m:r>
          <m:rPr>
            <m:sty m:val="p"/>
          </m:rPr>
          <w:rPr>
            <w:rFonts w:ascii="Cambria Math" w:hAnsi="Cambria Math"/>
          </w:rPr>
          <m:t>ψ</m:t>
        </m:r>
      </m:oMath>
      <w:r>
        <w:t xml:space="preserve"> é o </w:t>
      </w:r>
      <w:r w:rsidRPr="00F33067">
        <w:t>coeficiente de escoamento</w:t>
      </w:r>
      <w:r>
        <w:t xml:space="preserve">, </w:t>
      </w:r>
      <m:oMath>
        <m:sSub>
          <m:sSubPr>
            <m:ctrlPr>
              <w:rPr>
                <w:rFonts w:ascii="Cambria Math" w:hAnsi="Cambria Math"/>
              </w:rPr>
            </m:ctrlPr>
          </m:sSubPr>
          <m:e>
            <m:r>
              <w:rPr>
                <w:rFonts w:ascii="Cambria Math" w:hAnsi="Cambria Math"/>
              </w:rPr>
              <m:t>ρ</m:t>
            </m:r>
          </m:e>
          <m:sub>
            <m:r>
              <m:rPr>
                <m:sty m:val="p"/>
              </m:rPr>
              <w:rPr>
                <w:rFonts w:ascii="Cambria Math" w:hAnsi="Cambria Math"/>
              </w:rPr>
              <m:t>0</m:t>
            </m:r>
          </m:sub>
        </m:sSub>
      </m:oMath>
      <w:r>
        <w:t xml:space="preserve"> é a </w:t>
      </w:r>
      <w:r w:rsidRPr="00F33067">
        <w:t xml:space="preserve">densidade </w:t>
      </w:r>
      <w:r>
        <w:t xml:space="preserve">interna </w:t>
      </w:r>
      <w:r w:rsidRPr="00F33067">
        <w:t>do gás(kg/m³)</w:t>
      </w:r>
      <w:r>
        <w:t xml:space="preserve">, </w:t>
      </w:r>
      <m:oMath>
        <m:sSub>
          <m:sSubPr>
            <m:ctrlPr>
              <w:rPr>
                <w:rFonts w:ascii="Cambria Math" w:hAnsi="Cambria Math"/>
              </w:rPr>
            </m:ctrlPr>
          </m:sSubPr>
          <m:e>
            <m:r>
              <w:rPr>
                <w:rFonts w:ascii="Cambria Math" w:hAnsi="Cambria Math"/>
              </w:rPr>
              <m:t>P</m:t>
            </m:r>
          </m:e>
          <m:sub>
            <m:r>
              <m:rPr>
                <m:sty m:val="p"/>
              </m:rPr>
              <w:rPr>
                <w:rFonts w:ascii="Cambria Math" w:hAnsi="Cambria Math"/>
              </w:rPr>
              <m:t>0</m:t>
            </m:r>
          </m:sub>
        </m:sSub>
      </m:oMath>
      <w:r>
        <w:t xml:space="preserve"> é a </w:t>
      </w:r>
      <w:r w:rsidRPr="00F33067">
        <w:t xml:space="preserve">pressão </w:t>
      </w:r>
      <w:r>
        <w:t xml:space="preserve">interna </w:t>
      </w:r>
      <w:r w:rsidRPr="00F33067">
        <w:t>do gás, (N/m²)</w:t>
      </w:r>
      <w:r>
        <w:t xml:space="preserve"> e </w:t>
      </w:r>
      <m:oMath>
        <m:r>
          <w:rPr>
            <w:rFonts w:ascii="Cambria Math" w:hAnsi="Cambria Math"/>
          </w:rPr>
          <m:t>γ</m:t>
        </m:r>
      </m:oMath>
      <w:r>
        <w:t xml:space="preserve"> é a </w:t>
      </w:r>
      <w:r w:rsidRPr="00F33067">
        <w:t>coeficiente de Poisson (-).</w:t>
      </w:r>
    </w:p>
    <w:p w:rsidR="00FA53ED" w:rsidRPr="00F33067" w:rsidRDefault="00FA53ED" w:rsidP="00BB7A66"/>
    <w:p w:rsidR="00FA53ED" w:rsidRDefault="00FA53ED" w:rsidP="00BB7A66">
      <w:r>
        <w:t xml:space="preserve">O fator </w:t>
      </w:r>
      <m:oMath>
        <m:sSup>
          <m:sSupPr>
            <m:ctrlPr>
              <w:rPr>
                <w:rFonts w:ascii="Cambria Math" w:hAnsi="Cambria Math"/>
              </w:rPr>
            </m:ctrlPr>
          </m:sSupPr>
          <m:e>
            <m:r>
              <m:rPr>
                <m:sty m:val="p"/>
              </m:rPr>
              <w:rPr>
                <w:rFonts w:ascii="Cambria Math" w:hAnsi="Cambria Math"/>
              </w:rPr>
              <m:t>ψ</m:t>
            </m:r>
          </m:e>
          <m:sup>
            <m:r>
              <w:rPr>
                <w:rFonts w:ascii="Cambria Math" w:hAnsi="Cambria Math"/>
              </w:rPr>
              <m:t>2</m:t>
            </m:r>
          </m:sup>
        </m:sSup>
      </m:oMath>
      <w:r>
        <w:t xml:space="preserve"> é definido em função da característica de escoamento do gás. Para escoamento crítico, o valor do fator </w:t>
      </w:r>
      <m:oMath>
        <m:sSup>
          <m:sSupPr>
            <m:ctrlPr>
              <w:rPr>
                <w:rFonts w:ascii="Cambria Math" w:hAnsi="Cambria Math"/>
              </w:rPr>
            </m:ctrlPr>
          </m:sSupPr>
          <m:e>
            <m:r>
              <m:rPr>
                <m:sty m:val="p"/>
              </m:rPr>
              <w:rPr>
                <w:rFonts w:ascii="Cambria Math" w:hAnsi="Cambria Math"/>
              </w:rPr>
              <m:t>ψ</m:t>
            </m:r>
          </m:e>
          <m:sup>
            <m:r>
              <w:rPr>
                <w:rFonts w:ascii="Cambria Math" w:hAnsi="Cambria Math"/>
              </w:rPr>
              <m:t>2</m:t>
            </m:r>
          </m:sup>
        </m:sSup>
      </m:oMath>
      <w:r>
        <w:t xml:space="preserve"> é igual a 1, já para a condição subcrítica, o seu valor é dado pela Equação (2) </w:t>
      </w:r>
      <w:sdt>
        <w:sdtPr>
          <w:rPr>
            <w:sz w:val="23"/>
            <w:szCs w:val="23"/>
          </w:rPr>
          <w:id w:val="1900934799"/>
          <w:citation/>
        </w:sdtPr>
        <w:sdtContent>
          <w:r w:rsidR="00874417">
            <w:rPr>
              <w:sz w:val="23"/>
              <w:szCs w:val="23"/>
            </w:rPr>
            <w:fldChar w:fldCharType="begin"/>
          </w:r>
          <w:r>
            <w:rPr>
              <w:sz w:val="23"/>
              <w:szCs w:val="23"/>
            </w:rPr>
            <w:instrText xml:space="preserve"> CITATION TNO15 \l 1046 </w:instrText>
          </w:r>
          <w:r w:rsidR="00874417">
            <w:rPr>
              <w:sz w:val="23"/>
              <w:szCs w:val="23"/>
            </w:rPr>
            <w:fldChar w:fldCharType="separate"/>
          </w:r>
          <w:r w:rsidR="00C205D9" w:rsidRPr="00C205D9">
            <w:rPr>
              <w:noProof/>
              <w:sz w:val="23"/>
              <w:szCs w:val="23"/>
            </w:rPr>
            <w:t>[18]</w:t>
          </w:r>
          <w:r w:rsidR="00874417">
            <w:rPr>
              <w:sz w:val="23"/>
              <w:szCs w:val="23"/>
            </w:rPr>
            <w:fldChar w:fldCharType="end"/>
          </w:r>
        </w:sdtContent>
      </w:sdt>
      <w:r>
        <w:t xml:space="preserve"> .</w:t>
      </w:r>
    </w:p>
    <w:p w:rsidR="00FA53ED" w:rsidRDefault="00FA53ED" w:rsidP="00BB7A66"/>
    <w:tbl>
      <w:tblPr>
        <w:tblStyle w:val="Tabelacomgrade"/>
        <w:tblW w:w="8917"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075"/>
        <w:gridCol w:w="842"/>
      </w:tblGrid>
      <w:tr w:rsidR="00FA53ED" w:rsidRPr="00F33067" w:rsidTr="00FA53ED">
        <w:trPr>
          <w:trHeight w:val="974"/>
        </w:trPr>
        <w:tc>
          <w:tcPr>
            <w:tcW w:w="8075" w:type="dxa"/>
            <w:vAlign w:val="center"/>
          </w:tcPr>
          <w:p w:rsidR="00FA53ED" w:rsidRPr="00F33067" w:rsidRDefault="00874417" w:rsidP="00241257">
            <w:pPr>
              <w:pStyle w:val="Texto"/>
              <w:ind w:left="0" w:right="119"/>
              <w:jc w:val="center"/>
            </w:pPr>
            <m:oMathPara>
              <m:oMath>
                <m:sSup>
                  <m:sSupPr>
                    <m:ctrlPr>
                      <w:rPr>
                        <w:rFonts w:ascii="Cambria Math" w:hAnsi="Cambria Math"/>
                        <w:sz w:val="24"/>
                        <w:szCs w:val="22"/>
                      </w:rPr>
                    </m:ctrlPr>
                  </m:sSupPr>
                  <m:e>
                    <m:r>
                      <m:rPr>
                        <m:sty m:val="p"/>
                      </m:rPr>
                      <w:rPr>
                        <w:rFonts w:ascii="Cambria Math" w:hAnsi="Cambria Math"/>
                        <w:sz w:val="24"/>
                        <w:szCs w:val="22"/>
                      </w:rPr>
                      <m:t>ψ</m:t>
                    </m:r>
                  </m:e>
                  <m:sup>
                    <m:r>
                      <w:rPr>
                        <w:rFonts w:ascii="Cambria Math" w:hAnsi="Cambria Math"/>
                        <w:sz w:val="24"/>
                        <w:szCs w:val="22"/>
                      </w:rPr>
                      <m:t>2</m:t>
                    </m:r>
                  </m:sup>
                </m:sSup>
                <m:r>
                  <w:rPr>
                    <w:rFonts w:ascii="Cambria Math" w:hAnsi="Cambria Math"/>
                    <w:sz w:val="24"/>
                    <w:szCs w:val="22"/>
                  </w:rPr>
                  <m:t xml:space="preserve">= </m:t>
                </m:r>
                <m:f>
                  <m:fPr>
                    <m:ctrlPr>
                      <w:rPr>
                        <w:rFonts w:ascii="Cambria Math" w:hAnsi="Cambria Math"/>
                        <w:i/>
                        <w:sz w:val="24"/>
                        <w:szCs w:val="22"/>
                      </w:rPr>
                    </m:ctrlPr>
                  </m:fPr>
                  <m:num>
                    <m:r>
                      <w:rPr>
                        <w:rFonts w:ascii="Cambria Math" w:hAnsi="Cambria Math"/>
                        <w:sz w:val="24"/>
                        <w:szCs w:val="22"/>
                      </w:rPr>
                      <m:t>2</m:t>
                    </m:r>
                  </m:num>
                  <m:den>
                    <m:r>
                      <w:rPr>
                        <w:rFonts w:ascii="Cambria Math" w:hAnsi="Cambria Math"/>
                        <w:sz w:val="24"/>
                        <w:szCs w:val="22"/>
                      </w:rPr>
                      <m:t>γ-1</m:t>
                    </m:r>
                  </m:den>
                </m:f>
                <m:sSup>
                  <m:sSupPr>
                    <m:ctrlPr>
                      <w:rPr>
                        <w:rFonts w:ascii="Cambria Math" w:hAnsi="Cambria Math"/>
                        <w:i/>
                        <w:sz w:val="24"/>
                        <w:szCs w:val="22"/>
                      </w:rPr>
                    </m:ctrlPr>
                  </m:sSupPr>
                  <m:e>
                    <m:d>
                      <m:dPr>
                        <m:ctrlPr>
                          <w:rPr>
                            <w:rFonts w:ascii="Cambria Math" w:hAnsi="Cambria Math"/>
                            <w:i/>
                            <w:sz w:val="24"/>
                            <w:szCs w:val="22"/>
                          </w:rPr>
                        </m:ctrlPr>
                      </m:dPr>
                      <m:e>
                        <m:f>
                          <m:fPr>
                            <m:ctrlPr>
                              <w:rPr>
                                <w:rFonts w:ascii="Cambria Math" w:hAnsi="Cambria Math"/>
                                <w:i/>
                                <w:sz w:val="24"/>
                                <w:szCs w:val="22"/>
                              </w:rPr>
                            </m:ctrlPr>
                          </m:fPr>
                          <m:num>
                            <m:r>
                              <w:rPr>
                                <w:rFonts w:ascii="Cambria Math" w:hAnsi="Cambria Math"/>
                                <w:sz w:val="24"/>
                                <w:szCs w:val="22"/>
                              </w:rPr>
                              <m:t>γ+1</m:t>
                            </m:r>
                          </m:num>
                          <m:den>
                            <m:r>
                              <w:rPr>
                                <w:rFonts w:ascii="Cambria Math" w:hAnsi="Cambria Math"/>
                                <w:sz w:val="24"/>
                                <w:szCs w:val="22"/>
                              </w:rPr>
                              <m:t>2</m:t>
                            </m:r>
                          </m:den>
                        </m:f>
                      </m:e>
                    </m:d>
                  </m:e>
                  <m:sup>
                    <m:d>
                      <m:dPr>
                        <m:ctrlPr>
                          <w:rPr>
                            <w:rFonts w:ascii="Cambria Math" w:hAnsi="Cambria Math"/>
                            <w:i/>
                            <w:sz w:val="24"/>
                            <w:szCs w:val="22"/>
                          </w:rPr>
                        </m:ctrlPr>
                      </m:dPr>
                      <m:e>
                        <m:f>
                          <m:fPr>
                            <m:ctrlPr>
                              <w:rPr>
                                <w:rFonts w:ascii="Cambria Math" w:hAnsi="Cambria Math"/>
                                <w:i/>
                                <w:sz w:val="24"/>
                                <w:szCs w:val="22"/>
                              </w:rPr>
                            </m:ctrlPr>
                          </m:fPr>
                          <m:num>
                            <m:r>
                              <w:rPr>
                                <w:rFonts w:ascii="Cambria Math" w:hAnsi="Cambria Math"/>
                                <w:sz w:val="24"/>
                                <w:szCs w:val="22"/>
                              </w:rPr>
                              <m:t>γ+1</m:t>
                            </m:r>
                          </m:num>
                          <m:den>
                            <m:r>
                              <w:rPr>
                                <w:rFonts w:ascii="Cambria Math" w:hAnsi="Cambria Math"/>
                                <w:sz w:val="24"/>
                                <w:szCs w:val="22"/>
                              </w:rPr>
                              <m:t>γ-1</m:t>
                            </m:r>
                          </m:den>
                        </m:f>
                      </m:e>
                    </m:d>
                  </m:sup>
                </m:sSup>
                <m:sSup>
                  <m:sSupPr>
                    <m:ctrlPr>
                      <w:rPr>
                        <w:rFonts w:ascii="Cambria Math" w:hAnsi="Cambria Math"/>
                        <w:i/>
                        <w:sz w:val="24"/>
                        <w:szCs w:val="22"/>
                      </w:rPr>
                    </m:ctrlPr>
                  </m:sSupPr>
                  <m:e>
                    <m:d>
                      <m:dPr>
                        <m:ctrlPr>
                          <w:rPr>
                            <w:rFonts w:ascii="Cambria Math" w:hAnsi="Cambria Math"/>
                            <w:i/>
                            <w:sz w:val="24"/>
                            <w:szCs w:val="22"/>
                          </w:rPr>
                        </m:ctrlPr>
                      </m:dPr>
                      <m:e>
                        <m:f>
                          <m:fPr>
                            <m:ctrlPr>
                              <w:rPr>
                                <w:rFonts w:ascii="Cambria Math" w:hAnsi="Cambria Math"/>
                                <w:i/>
                                <w:sz w:val="24"/>
                                <w:szCs w:val="22"/>
                              </w:rPr>
                            </m:ctrlPr>
                          </m:fPr>
                          <m:num>
                            <m:sSub>
                              <m:sSubPr>
                                <m:ctrlPr>
                                  <w:rPr>
                                    <w:rFonts w:ascii="Cambria Math" w:hAnsi="Cambria Math"/>
                                    <w:i/>
                                    <w:sz w:val="24"/>
                                    <w:szCs w:val="22"/>
                                  </w:rPr>
                                </m:ctrlPr>
                              </m:sSubPr>
                              <m:e>
                                <m:r>
                                  <w:rPr>
                                    <w:rFonts w:ascii="Cambria Math" w:hAnsi="Cambria Math"/>
                                    <w:sz w:val="24"/>
                                    <w:szCs w:val="22"/>
                                  </w:rPr>
                                  <m:t>P</m:t>
                                </m:r>
                              </m:e>
                              <m:sub>
                                <m:r>
                                  <w:rPr>
                                    <w:rFonts w:ascii="Cambria Math" w:hAnsi="Cambria Math"/>
                                    <w:sz w:val="24"/>
                                    <w:szCs w:val="22"/>
                                  </w:rPr>
                                  <m:t>a</m:t>
                                </m:r>
                              </m:sub>
                            </m:sSub>
                          </m:num>
                          <m:den>
                            <m:sSub>
                              <m:sSubPr>
                                <m:ctrlPr>
                                  <w:rPr>
                                    <w:rFonts w:ascii="Cambria Math" w:hAnsi="Cambria Math"/>
                                    <w:i/>
                                    <w:sz w:val="24"/>
                                    <w:szCs w:val="22"/>
                                  </w:rPr>
                                </m:ctrlPr>
                              </m:sSubPr>
                              <m:e>
                                <m:r>
                                  <w:rPr>
                                    <w:rFonts w:ascii="Cambria Math" w:hAnsi="Cambria Math"/>
                                    <w:sz w:val="24"/>
                                    <w:szCs w:val="22"/>
                                  </w:rPr>
                                  <m:t>P</m:t>
                                </m:r>
                              </m:e>
                              <m:sub>
                                <m:r>
                                  <w:rPr>
                                    <w:rFonts w:ascii="Cambria Math" w:hAnsi="Cambria Math"/>
                                    <w:sz w:val="24"/>
                                    <w:szCs w:val="22"/>
                                  </w:rPr>
                                  <m:t>0</m:t>
                                </m:r>
                              </m:sub>
                            </m:sSub>
                          </m:den>
                        </m:f>
                      </m:e>
                    </m:d>
                  </m:e>
                  <m:sup>
                    <m:f>
                      <m:fPr>
                        <m:ctrlPr>
                          <w:rPr>
                            <w:rFonts w:ascii="Cambria Math" w:hAnsi="Cambria Math"/>
                            <w:i/>
                            <w:sz w:val="24"/>
                            <w:szCs w:val="22"/>
                          </w:rPr>
                        </m:ctrlPr>
                      </m:fPr>
                      <m:num>
                        <m:r>
                          <w:rPr>
                            <w:rFonts w:ascii="Cambria Math" w:hAnsi="Cambria Math"/>
                            <w:sz w:val="24"/>
                            <w:szCs w:val="22"/>
                          </w:rPr>
                          <m:t>2</m:t>
                        </m:r>
                      </m:num>
                      <m:den>
                        <m:r>
                          <w:rPr>
                            <w:rFonts w:ascii="Cambria Math" w:hAnsi="Cambria Math"/>
                            <w:sz w:val="24"/>
                            <w:szCs w:val="22"/>
                          </w:rPr>
                          <m:t>γ</m:t>
                        </m:r>
                      </m:den>
                    </m:f>
                  </m:sup>
                </m:sSup>
                <m:d>
                  <m:dPr>
                    <m:begChr m:val="["/>
                    <m:endChr m:val="]"/>
                    <m:ctrlPr>
                      <w:rPr>
                        <w:rFonts w:ascii="Cambria Math" w:hAnsi="Cambria Math"/>
                        <w:i/>
                        <w:sz w:val="24"/>
                        <w:szCs w:val="22"/>
                      </w:rPr>
                    </m:ctrlPr>
                  </m:dPr>
                  <m:e>
                    <m:r>
                      <w:rPr>
                        <w:rFonts w:ascii="Cambria Math" w:hAnsi="Cambria Math"/>
                        <w:sz w:val="24"/>
                        <w:szCs w:val="22"/>
                      </w:rPr>
                      <m:t>1-</m:t>
                    </m:r>
                    <m:sSup>
                      <m:sSupPr>
                        <m:ctrlPr>
                          <w:rPr>
                            <w:rFonts w:ascii="Cambria Math" w:hAnsi="Cambria Math"/>
                            <w:i/>
                            <w:sz w:val="24"/>
                            <w:szCs w:val="22"/>
                          </w:rPr>
                        </m:ctrlPr>
                      </m:sSupPr>
                      <m:e>
                        <m:d>
                          <m:dPr>
                            <m:ctrlPr>
                              <w:rPr>
                                <w:rFonts w:ascii="Cambria Math" w:hAnsi="Cambria Math"/>
                                <w:i/>
                                <w:sz w:val="24"/>
                                <w:szCs w:val="22"/>
                              </w:rPr>
                            </m:ctrlPr>
                          </m:dPr>
                          <m:e>
                            <m:f>
                              <m:fPr>
                                <m:ctrlPr>
                                  <w:rPr>
                                    <w:rFonts w:ascii="Cambria Math" w:hAnsi="Cambria Math"/>
                                    <w:i/>
                                    <w:sz w:val="24"/>
                                    <w:szCs w:val="22"/>
                                  </w:rPr>
                                </m:ctrlPr>
                              </m:fPr>
                              <m:num>
                                <m:sSub>
                                  <m:sSubPr>
                                    <m:ctrlPr>
                                      <w:rPr>
                                        <w:rFonts w:ascii="Cambria Math" w:hAnsi="Cambria Math"/>
                                        <w:i/>
                                        <w:sz w:val="24"/>
                                        <w:szCs w:val="22"/>
                                      </w:rPr>
                                    </m:ctrlPr>
                                  </m:sSubPr>
                                  <m:e>
                                    <m:r>
                                      <w:rPr>
                                        <w:rFonts w:ascii="Cambria Math" w:hAnsi="Cambria Math"/>
                                        <w:sz w:val="24"/>
                                        <w:szCs w:val="22"/>
                                      </w:rPr>
                                      <m:t>P</m:t>
                                    </m:r>
                                  </m:e>
                                  <m:sub>
                                    <m:r>
                                      <w:rPr>
                                        <w:rFonts w:ascii="Cambria Math" w:hAnsi="Cambria Math"/>
                                        <w:sz w:val="24"/>
                                        <w:szCs w:val="22"/>
                                      </w:rPr>
                                      <m:t>a</m:t>
                                    </m:r>
                                  </m:sub>
                                </m:sSub>
                              </m:num>
                              <m:den>
                                <m:sSub>
                                  <m:sSubPr>
                                    <m:ctrlPr>
                                      <w:rPr>
                                        <w:rFonts w:ascii="Cambria Math" w:hAnsi="Cambria Math"/>
                                        <w:i/>
                                        <w:sz w:val="24"/>
                                        <w:szCs w:val="22"/>
                                      </w:rPr>
                                    </m:ctrlPr>
                                  </m:sSubPr>
                                  <m:e>
                                    <m:r>
                                      <w:rPr>
                                        <w:rFonts w:ascii="Cambria Math" w:hAnsi="Cambria Math"/>
                                        <w:sz w:val="24"/>
                                        <w:szCs w:val="22"/>
                                      </w:rPr>
                                      <m:t>P</m:t>
                                    </m:r>
                                  </m:e>
                                  <m:sub>
                                    <m:r>
                                      <w:rPr>
                                        <w:rFonts w:ascii="Cambria Math" w:hAnsi="Cambria Math"/>
                                        <w:sz w:val="24"/>
                                        <w:szCs w:val="22"/>
                                      </w:rPr>
                                      <m:t>0</m:t>
                                    </m:r>
                                  </m:sub>
                                </m:sSub>
                              </m:den>
                            </m:f>
                          </m:e>
                        </m:d>
                      </m:e>
                      <m:sup>
                        <m:f>
                          <m:fPr>
                            <m:ctrlPr>
                              <w:rPr>
                                <w:rFonts w:ascii="Cambria Math" w:hAnsi="Cambria Math"/>
                                <w:i/>
                                <w:sz w:val="24"/>
                                <w:szCs w:val="22"/>
                              </w:rPr>
                            </m:ctrlPr>
                          </m:fPr>
                          <m:num>
                            <m:r>
                              <w:rPr>
                                <w:rFonts w:ascii="Cambria Math" w:hAnsi="Cambria Math"/>
                                <w:sz w:val="24"/>
                                <w:szCs w:val="22"/>
                              </w:rPr>
                              <m:t>γ-1</m:t>
                            </m:r>
                          </m:num>
                          <m:den>
                            <m:r>
                              <w:rPr>
                                <w:rFonts w:ascii="Cambria Math" w:hAnsi="Cambria Math"/>
                                <w:sz w:val="24"/>
                                <w:szCs w:val="22"/>
                              </w:rPr>
                              <m:t>γ</m:t>
                            </m:r>
                          </m:den>
                        </m:f>
                      </m:sup>
                    </m:sSup>
                  </m:e>
                </m:d>
              </m:oMath>
            </m:oMathPara>
          </w:p>
        </w:tc>
        <w:tc>
          <w:tcPr>
            <w:tcW w:w="842" w:type="dxa"/>
            <w:vAlign w:val="center"/>
          </w:tcPr>
          <w:p w:rsidR="00FA53ED" w:rsidRPr="00F33067" w:rsidRDefault="00FA53ED" w:rsidP="00FA53ED">
            <w:pPr>
              <w:spacing w:after="201"/>
              <w:ind w:firstLine="0"/>
            </w:pPr>
            <w:bookmarkStart w:id="14" w:name="_Ref18573168"/>
            <w:r w:rsidRPr="00F33067">
              <w:t>(</w:t>
            </w:r>
            <w:r w:rsidR="00874417">
              <w:fldChar w:fldCharType="begin"/>
            </w:r>
            <w:r>
              <w:instrText xml:space="preserve"> SEQ Equação \* ARABIC </w:instrText>
            </w:r>
            <w:r w:rsidR="00874417">
              <w:fldChar w:fldCharType="separate"/>
            </w:r>
            <w:r w:rsidR="007C2804">
              <w:rPr>
                <w:noProof/>
              </w:rPr>
              <w:t>6</w:t>
            </w:r>
            <w:r w:rsidR="00874417">
              <w:rPr>
                <w:noProof/>
              </w:rPr>
              <w:fldChar w:fldCharType="end"/>
            </w:r>
            <w:r w:rsidRPr="00F33067">
              <w:t>)</w:t>
            </w:r>
            <w:bookmarkEnd w:id="14"/>
          </w:p>
        </w:tc>
      </w:tr>
    </w:tbl>
    <w:p w:rsidR="006718A7" w:rsidRDefault="00FA53ED" w:rsidP="00BB7A66">
      <w:r>
        <w:t xml:space="preserve">em que </w:t>
      </w:r>
      <m:oMath>
        <m:sSub>
          <m:sSubPr>
            <m:ctrlPr>
              <w:rPr>
                <w:rFonts w:ascii="Cambria Math" w:hAnsi="Cambria Math"/>
                <w:i/>
                <w:sz w:val="24"/>
              </w:rPr>
            </m:ctrlPr>
          </m:sSubPr>
          <m:e>
            <m:r>
              <w:rPr>
                <w:rFonts w:ascii="Cambria Math" w:hAnsi="Cambria Math"/>
                <w:sz w:val="24"/>
              </w:rPr>
              <m:t>P</m:t>
            </m:r>
          </m:e>
          <m:sub>
            <m:r>
              <w:rPr>
                <w:rFonts w:ascii="Cambria Math" w:hAnsi="Cambria Math"/>
                <w:sz w:val="24"/>
              </w:rPr>
              <m:t>a</m:t>
            </m:r>
          </m:sub>
        </m:sSub>
      </m:oMath>
      <w:r>
        <w:t>é a pressão ambiente (N/m²).</w:t>
      </w:r>
    </w:p>
    <w:p w:rsidR="00070488" w:rsidRDefault="008D4A55" w:rsidP="00070488">
      <w:r>
        <w:t xml:space="preserve">Um outro dado de entrada bastante importante para o estudo de dispersão de gases é a geometria do local do estudo. Como nas refinarias e plataformas de petróleo o ambiente é </w:t>
      </w:r>
      <w:r w:rsidR="00BA48B1">
        <w:t xml:space="preserve">bastante congestionado, não </w:t>
      </w:r>
      <w:r w:rsidR="00BA48B1">
        <w:lastRenderedPageBreak/>
        <w:t xml:space="preserve">podemos desconsiderar a influência da geometria dos equipamentos. Na </w:t>
      </w:r>
      <w:r w:rsidR="00874417">
        <w:fldChar w:fldCharType="begin"/>
      </w:r>
      <w:r w:rsidR="000B47FF">
        <w:instrText xml:space="preserve"> REF _Ref22499166 \h </w:instrText>
      </w:r>
      <w:r w:rsidR="00874417">
        <w:fldChar w:fldCharType="separate"/>
      </w:r>
      <w:r w:rsidR="007C2804">
        <w:t xml:space="preserve">Figura </w:t>
      </w:r>
      <w:r w:rsidR="007C2804">
        <w:rPr>
          <w:noProof/>
        </w:rPr>
        <w:t>6</w:t>
      </w:r>
      <w:r w:rsidR="00874417">
        <w:fldChar w:fldCharType="end"/>
      </w:r>
      <w:r w:rsidR="00BA48B1">
        <w:t>podemos observar a geometria de uma unidade de uma refinaria</w:t>
      </w:r>
      <w:sdt>
        <w:sdtPr>
          <w:id w:val="1945801111"/>
          <w:citation/>
        </w:sdtPr>
        <w:sdtContent>
          <w:r w:rsidR="00874417">
            <w:fldChar w:fldCharType="begin"/>
          </w:r>
          <w:r w:rsidR="00C205D9">
            <w:instrText xml:space="preserve"> CITATION Edu12 \l 1046 </w:instrText>
          </w:r>
          <w:r w:rsidR="00874417">
            <w:fldChar w:fldCharType="separate"/>
          </w:r>
          <w:r w:rsidR="00C205D9" w:rsidRPr="00C205D9">
            <w:rPr>
              <w:noProof/>
            </w:rPr>
            <w:t>[19]</w:t>
          </w:r>
          <w:r w:rsidR="00874417">
            <w:fldChar w:fldCharType="end"/>
          </w:r>
        </w:sdtContent>
      </w:sdt>
      <w:r w:rsidR="00BA48B1">
        <w:t xml:space="preserve"> e a geometria de uma plataforma</w:t>
      </w:r>
      <w:sdt>
        <w:sdtPr>
          <w:id w:val="1185713833"/>
          <w:citation/>
        </w:sdtPr>
        <w:sdtContent>
          <w:r w:rsidR="00874417">
            <w:fldChar w:fldCharType="begin"/>
          </w:r>
          <w:r w:rsidR="00C205D9">
            <w:instrText xml:space="preserve"> CITATION Joã18 \l 1046 </w:instrText>
          </w:r>
          <w:r w:rsidR="00874417">
            <w:fldChar w:fldCharType="separate"/>
          </w:r>
          <w:r w:rsidR="00C205D9" w:rsidRPr="00C205D9">
            <w:rPr>
              <w:noProof/>
            </w:rPr>
            <w:t>[1]</w:t>
          </w:r>
          <w:r w:rsidR="00874417">
            <w:fldChar w:fldCharType="end"/>
          </w:r>
        </w:sdtContent>
      </w:sdt>
      <w:r w:rsidR="00BA48B1">
        <w:t xml:space="preserve">. </w:t>
      </w:r>
    </w:p>
    <w:p w:rsidR="000B47FF" w:rsidRDefault="000B47FF" w:rsidP="00070488"/>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1"/>
        <w:gridCol w:w="5180"/>
      </w:tblGrid>
      <w:tr w:rsidR="00BA48B1" w:rsidTr="009B2742">
        <w:tc>
          <w:tcPr>
            <w:tcW w:w="4531" w:type="dxa"/>
          </w:tcPr>
          <w:p w:rsidR="00BA48B1" w:rsidRDefault="00BA48B1" w:rsidP="003753A5">
            <w:pPr>
              <w:pStyle w:val="Figura"/>
            </w:pPr>
            <w:r>
              <w:drawing>
                <wp:inline distT="0" distB="0" distL="0" distR="0">
                  <wp:extent cx="2472261" cy="1770659"/>
                  <wp:effectExtent l="0" t="0" r="4445" b="1270"/>
                  <wp:docPr id="2069" name="Imagem 2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82800" cy="1778207"/>
                          </a:xfrm>
                          <a:prstGeom prst="rect">
                            <a:avLst/>
                          </a:prstGeom>
                          <a:noFill/>
                        </pic:spPr>
                      </pic:pic>
                    </a:graphicData>
                  </a:graphic>
                </wp:inline>
              </w:drawing>
            </w:r>
          </w:p>
        </w:tc>
        <w:tc>
          <w:tcPr>
            <w:tcW w:w="5098" w:type="dxa"/>
          </w:tcPr>
          <w:p w:rsidR="00BA48B1" w:rsidRDefault="00BA48B1" w:rsidP="003753A5">
            <w:pPr>
              <w:pStyle w:val="Figura"/>
            </w:pPr>
            <w:r>
              <w:drawing>
                <wp:inline distT="0" distB="0" distL="0" distR="0">
                  <wp:extent cx="3151727" cy="1460500"/>
                  <wp:effectExtent l="0" t="0" r="0" b="635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t="18351" b="19196"/>
                          <a:stretch/>
                        </pic:blipFill>
                        <pic:spPr bwMode="auto">
                          <a:xfrm>
                            <a:off x="0" y="0"/>
                            <a:ext cx="3157368" cy="1463114"/>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tc>
      </w:tr>
      <w:tr w:rsidR="00BA48B1" w:rsidTr="009B2742">
        <w:tc>
          <w:tcPr>
            <w:tcW w:w="4531" w:type="dxa"/>
          </w:tcPr>
          <w:p w:rsidR="00BA48B1" w:rsidRDefault="003753A5" w:rsidP="00070488">
            <w:pPr>
              <w:ind w:firstLine="0"/>
            </w:pPr>
            <w:r>
              <w:t>(a)</w:t>
            </w:r>
          </w:p>
        </w:tc>
        <w:tc>
          <w:tcPr>
            <w:tcW w:w="5098" w:type="dxa"/>
          </w:tcPr>
          <w:p w:rsidR="00BA48B1" w:rsidRDefault="003753A5" w:rsidP="009B2742">
            <w:pPr>
              <w:keepNext/>
              <w:ind w:firstLine="0"/>
            </w:pPr>
            <w:r>
              <w:t>(b)</w:t>
            </w:r>
          </w:p>
        </w:tc>
      </w:tr>
    </w:tbl>
    <w:p w:rsidR="00BA48B1" w:rsidRPr="00DA793F" w:rsidRDefault="009B2742" w:rsidP="009B2742">
      <w:pPr>
        <w:pStyle w:val="Legenda"/>
      </w:pPr>
      <w:bookmarkStart w:id="15" w:name="_Ref22499166"/>
      <w:r>
        <w:t xml:space="preserve">Figura </w:t>
      </w:r>
      <w:r w:rsidR="00874417">
        <w:fldChar w:fldCharType="begin"/>
      </w:r>
      <w:r>
        <w:instrText xml:space="preserve"> SEQ Figura \* ARABIC </w:instrText>
      </w:r>
      <w:r w:rsidR="00874417">
        <w:fldChar w:fldCharType="separate"/>
      </w:r>
      <w:r w:rsidR="007C2804">
        <w:rPr>
          <w:noProof/>
        </w:rPr>
        <w:t>6</w:t>
      </w:r>
      <w:r w:rsidR="00874417">
        <w:fldChar w:fldCharType="end"/>
      </w:r>
      <w:bookmarkEnd w:id="15"/>
      <w:r>
        <w:t xml:space="preserve">: </w:t>
      </w:r>
      <w:r w:rsidRPr="009B2742">
        <w:rPr>
          <w:b w:val="0"/>
          <w:bCs w:val="0"/>
        </w:rPr>
        <w:t>Geometria dos domínios computacionais de uma refinaria (a)</w:t>
      </w:r>
      <w:sdt>
        <w:sdtPr>
          <w:rPr>
            <w:b w:val="0"/>
            <w:bCs w:val="0"/>
          </w:rPr>
          <w:id w:val="-1218891930"/>
          <w:citation/>
        </w:sdtPr>
        <w:sdtContent>
          <w:r w:rsidR="00874417" w:rsidRPr="001017FD">
            <w:rPr>
              <w:b w:val="0"/>
              <w:bCs w:val="0"/>
            </w:rPr>
            <w:fldChar w:fldCharType="begin"/>
          </w:r>
          <w:r w:rsidR="001017FD" w:rsidRPr="001017FD">
            <w:rPr>
              <w:b w:val="0"/>
              <w:bCs w:val="0"/>
            </w:rPr>
            <w:instrText xml:space="preserve"> CITATION Edu12 \l 1046 </w:instrText>
          </w:r>
          <w:r w:rsidR="00874417" w:rsidRPr="001017FD">
            <w:rPr>
              <w:b w:val="0"/>
              <w:bCs w:val="0"/>
            </w:rPr>
            <w:fldChar w:fldCharType="separate"/>
          </w:r>
          <w:r w:rsidR="001017FD" w:rsidRPr="001017FD">
            <w:rPr>
              <w:b w:val="0"/>
              <w:bCs w:val="0"/>
              <w:noProof/>
            </w:rPr>
            <w:t>[19]</w:t>
          </w:r>
          <w:r w:rsidR="00874417" w:rsidRPr="001017FD">
            <w:rPr>
              <w:b w:val="0"/>
              <w:bCs w:val="0"/>
            </w:rPr>
            <w:fldChar w:fldCharType="end"/>
          </w:r>
        </w:sdtContent>
      </w:sdt>
      <w:r w:rsidRPr="009B2742">
        <w:rPr>
          <w:b w:val="0"/>
          <w:bCs w:val="0"/>
        </w:rPr>
        <w:t xml:space="preserve"> e uma plataforma de petróleo (b)</w:t>
      </w:r>
      <w:sdt>
        <w:sdtPr>
          <w:rPr>
            <w:b w:val="0"/>
            <w:bCs w:val="0"/>
          </w:rPr>
          <w:id w:val="-575591671"/>
          <w:citation/>
        </w:sdtPr>
        <w:sdtContent>
          <w:r w:rsidR="00874417" w:rsidRPr="001017FD">
            <w:rPr>
              <w:b w:val="0"/>
              <w:bCs w:val="0"/>
            </w:rPr>
            <w:fldChar w:fldCharType="begin"/>
          </w:r>
          <w:r w:rsidR="00C205D9" w:rsidRPr="001017FD">
            <w:rPr>
              <w:b w:val="0"/>
              <w:bCs w:val="0"/>
            </w:rPr>
            <w:instrText xml:space="preserve"> CITATION Joã18 \l 1046 </w:instrText>
          </w:r>
          <w:r w:rsidR="00874417" w:rsidRPr="001017FD">
            <w:rPr>
              <w:b w:val="0"/>
              <w:bCs w:val="0"/>
            </w:rPr>
            <w:fldChar w:fldCharType="separate"/>
          </w:r>
          <w:r w:rsidR="00C205D9" w:rsidRPr="001017FD">
            <w:rPr>
              <w:b w:val="0"/>
              <w:bCs w:val="0"/>
              <w:noProof/>
            </w:rPr>
            <w:t>[1]</w:t>
          </w:r>
          <w:r w:rsidR="00874417" w:rsidRPr="001017FD">
            <w:rPr>
              <w:b w:val="0"/>
              <w:bCs w:val="0"/>
            </w:rPr>
            <w:fldChar w:fldCharType="end"/>
          </w:r>
        </w:sdtContent>
      </w:sdt>
      <w:r w:rsidRPr="001017FD">
        <w:rPr>
          <w:b w:val="0"/>
          <w:bCs w:val="0"/>
        </w:rPr>
        <w:t>.</w:t>
      </w:r>
    </w:p>
    <w:p w:rsidR="00566808" w:rsidRDefault="007A2896" w:rsidP="007A2896">
      <w:pPr>
        <w:pStyle w:val="PargrafodaLista"/>
        <w:ind w:left="0"/>
        <w:rPr>
          <w:sz w:val="23"/>
          <w:szCs w:val="23"/>
        </w:rPr>
      </w:pPr>
      <w:r>
        <w:t xml:space="preserve">O caso base do estudo utilizado para fazer a comparação entre as duas metodologias consiste na reprodução dos casos simulados por </w:t>
      </w:r>
      <w:sdt>
        <w:sdtPr>
          <w:id w:val="-1230462453"/>
          <w:citation/>
        </w:sdtPr>
        <w:sdtContent>
          <w:r w:rsidR="00874417">
            <w:fldChar w:fldCharType="begin"/>
          </w:r>
          <w:r>
            <w:instrText xml:space="preserve"> CITATION Edu12 \l 1046 </w:instrText>
          </w:r>
          <w:r w:rsidR="00874417">
            <w:fldChar w:fldCharType="separate"/>
          </w:r>
          <w:r w:rsidRPr="007A2896">
            <w:rPr>
              <w:noProof/>
            </w:rPr>
            <w:t>[19]</w:t>
          </w:r>
          <w:r w:rsidR="00874417">
            <w:fldChar w:fldCharType="end"/>
          </w:r>
        </w:sdtContent>
      </w:sdt>
      <w:r>
        <w:t xml:space="preserve">. Neste estudo considerou-se vazamento de hidrogênio, a </w:t>
      </w:r>
      <w:r>
        <w:rPr>
          <w:sz w:val="23"/>
          <w:szCs w:val="23"/>
        </w:rPr>
        <w:t xml:space="preserve">58,5 </w:t>
      </w:r>
      <w:proofErr w:type="spellStart"/>
      <w:r>
        <w:rPr>
          <w:sz w:val="23"/>
          <w:szCs w:val="23"/>
        </w:rPr>
        <w:t>Kgf</w:t>
      </w:r>
      <w:proofErr w:type="spellEnd"/>
      <w:r>
        <w:rPr>
          <w:sz w:val="23"/>
          <w:szCs w:val="23"/>
        </w:rPr>
        <w:t>/cm</w:t>
      </w:r>
      <w:r w:rsidRPr="007A2896">
        <w:rPr>
          <w:sz w:val="23"/>
          <w:szCs w:val="23"/>
          <w:vertAlign w:val="superscript"/>
        </w:rPr>
        <w:t>2</w:t>
      </w:r>
      <w:r>
        <w:rPr>
          <w:sz w:val="23"/>
          <w:szCs w:val="23"/>
        </w:rPr>
        <w:t>(5,74x10</w:t>
      </w:r>
      <w:r>
        <w:rPr>
          <w:sz w:val="16"/>
          <w:szCs w:val="16"/>
        </w:rPr>
        <w:t xml:space="preserve">6 </w:t>
      </w:r>
      <w:proofErr w:type="spellStart"/>
      <w:r>
        <w:rPr>
          <w:sz w:val="23"/>
          <w:szCs w:val="23"/>
        </w:rPr>
        <w:t>Pa</w:t>
      </w:r>
      <w:proofErr w:type="spellEnd"/>
      <w:r>
        <w:rPr>
          <w:sz w:val="23"/>
          <w:szCs w:val="23"/>
        </w:rPr>
        <w:t xml:space="preserve">), 93 °C e com 10 mm de diâmetro, o que resultou em um vazamento de 0,1637 kg/s. Foram adotados vazamentos em dois equipamentos, oito direções de vento para duas direções de vazamento, sendo a direção para baixo em ambos equipamentos e uma direção </w:t>
      </w:r>
      <w:r w:rsidR="00C028CF">
        <w:rPr>
          <w:sz w:val="23"/>
          <w:szCs w:val="23"/>
        </w:rPr>
        <w:t xml:space="preserve">cruzada entre os equipamentos, o que totalizou 32 vazamentos </w:t>
      </w:r>
      <w:sdt>
        <w:sdtPr>
          <w:id w:val="858471839"/>
          <w:citation/>
        </w:sdtPr>
        <w:sdtContent>
          <w:r w:rsidR="00874417">
            <w:fldChar w:fldCharType="begin"/>
          </w:r>
          <w:r w:rsidR="00C028CF">
            <w:instrText xml:space="preserve"> CITATION Edu12 \l 1046 </w:instrText>
          </w:r>
          <w:r w:rsidR="00874417">
            <w:fldChar w:fldCharType="separate"/>
          </w:r>
          <w:r w:rsidR="00C028CF" w:rsidRPr="007A2896">
            <w:rPr>
              <w:noProof/>
            </w:rPr>
            <w:t>[19]</w:t>
          </w:r>
          <w:r w:rsidR="00874417">
            <w:fldChar w:fldCharType="end"/>
          </w:r>
        </w:sdtContent>
      </w:sdt>
      <w:r w:rsidR="00C028CF">
        <w:t>.</w:t>
      </w:r>
    </w:p>
    <w:p w:rsidR="007A2896" w:rsidRPr="00CB01EF" w:rsidRDefault="007A2896" w:rsidP="007A2896">
      <w:pPr>
        <w:pStyle w:val="PargrafodaLista"/>
        <w:ind w:left="0"/>
      </w:pPr>
    </w:p>
    <w:p w:rsidR="00C102C7" w:rsidRPr="00CB01EF" w:rsidRDefault="00FE7567" w:rsidP="00D764C8">
      <w:pPr>
        <w:pStyle w:val="Ttulo1"/>
      </w:pPr>
      <w:r>
        <w:t xml:space="preserve">RESULTADOS </w:t>
      </w:r>
    </w:p>
    <w:p w:rsidR="00DD79BF" w:rsidRDefault="00DD79BF" w:rsidP="00DD79BF">
      <w:pPr>
        <w:ind w:firstLine="0"/>
      </w:pPr>
    </w:p>
    <w:p w:rsidR="00DD79BF" w:rsidRDefault="00DD79BF" w:rsidP="00DD79BF">
      <w:r>
        <w:t xml:space="preserve">Foram posicionados os detectores com as duas metodologias. Com a planilha determinou-se a distância de 15 metros em relação aos dois pontos de vazamento.  Como </w:t>
      </w:r>
      <w:r w:rsidR="00D05286">
        <w:t>o</w:t>
      </w:r>
      <w:r>
        <w:t xml:space="preserve"> gás vazado é mais leve que o ar definiu-se a altura de 3 m. Para finalizar a coordenada adotou-se a direção preferencial do vendo, direção norte. O segundo método adotou simulação de CFD com otimização. Desta forma a posição dos detectores pode ser vista na </w:t>
      </w:r>
      <w:r w:rsidR="00874417">
        <w:fldChar w:fldCharType="begin"/>
      </w:r>
      <w:r>
        <w:instrText xml:space="preserve"> REF _Ref23105297 \h </w:instrText>
      </w:r>
      <w:r w:rsidR="00874417">
        <w:fldChar w:fldCharType="separate"/>
      </w:r>
      <w:r w:rsidR="007C2804">
        <w:t xml:space="preserve">Figura </w:t>
      </w:r>
      <w:r w:rsidR="007C2804">
        <w:rPr>
          <w:noProof/>
        </w:rPr>
        <w:t>7</w:t>
      </w:r>
      <w:r w:rsidR="00874417">
        <w:fldChar w:fldCharType="end"/>
      </w:r>
      <w:r w:rsidR="00D05286">
        <w:t xml:space="preserve">. </w:t>
      </w:r>
    </w:p>
    <w:p w:rsidR="00DD79BF" w:rsidRDefault="00DD79BF" w:rsidP="00DD79BF">
      <w:pPr>
        <w:pStyle w:val="Figura"/>
      </w:pPr>
      <w:r>
        <w:drawing>
          <wp:inline distT="0" distB="0" distL="0" distR="0">
            <wp:extent cx="3242010" cy="2160000"/>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242010" cy="2160000"/>
                    </a:xfrm>
                    <a:prstGeom prst="rect">
                      <a:avLst/>
                    </a:prstGeom>
                    <a:noFill/>
                    <a:ln>
                      <a:noFill/>
                    </a:ln>
                  </pic:spPr>
                </pic:pic>
              </a:graphicData>
            </a:graphic>
          </wp:inline>
        </w:drawing>
      </w:r>
    </w:p>
    <w:p w:rsidR="00D42FC0" w:rsidRDefault="00DD79BF" w:rsidP="00DD79BF">
      <w:pPr>
        <w:pStyle w:val="Legenda"/>
        <w:jc w:val="both"/>
        <w:rPr>
          <w:b w:val="0"/>
          <w:bCs w:val="0"/>
        </w:rPr>
      </w:pPr>
      <w:bookmarkStart w:id="16" w:name="_Ref23105297"/>
      <w:r>
        <w:t xml:space="preserve">Figura </w:t>
      </w:r>
      <w:r w:rsidR="00874417">
        <w:fldChar w:fldCharType="begin"/>
      </w:r>
      <w:r>
        <w:instrText xml:space="preserve"> SEQ Figura \* ARABIC </w:instrText>
      </w:r>
      <w:r w:rsidR="00874417">
        <w:fldChar w:fldCharType="separate"/>
      </w:r>
      <w:r w:rsidR="007C2804">
        <w:rPr>
          <w:noProof/>
        </w:rPr>
        <w:t>7</w:t>
      </w:r>
      <w:r w:rsidR="00874417">
        <w:fldChar w:fldCharType="end"/>
      </w:r>
      <w:bookmarkEnd w:id="16"/>
      <w:r>
        <w:t xml:space="preserve">: </w:t>
      </w:r>
      <w:r w:rsidRPr="00DD79BF">
        <w:rPr>
          <w:b w:val="0"/>
          <w:bCs w:val="0"/>
        </w:rPr>
        <w:t>Posição dos detectores posicionados por CFD (3 pontos em amarelo) e pela planilha (1 ponto em vermelho)</w:t>
      </w:r>
      <w:r>
        <w:rPr>
          <w:b w:val="0"/>
          <w:bCs w:val="0"/>
        </w:rPr>
        <w:t>.</w:t>
      </w:r>
    </w:p>
    <w:p w:rsidR="00DD79BF" w:rsidRDefault="007D10E7" w:rsidP="00DD79BF">
      <w:pPr>
        <w:ind w:firstLine="0"/>
      </w:pPr>
      <w:r>
        <w:lastRenderedPageBreak/>
        <w:tab/>
        <w:t xml:space="preserve">Como o vento preferencial é o vento </w:t>
      </w:r>
      <w:proofErr w:type="gramStart"/>
      <w:r>
        <w:t>norte foram</w:t>
      </w:r>
      <w:proofErr w:type="gramEnd"/>
      <w:r>
        <w:t xml:space="preserve"> apresentados </w:t>
      </w:r>
      <w:r w:rsidR="00B22052">
        <w:t xml:space="preserve">na </w:t>
      </w:r>
      <w:r w:rsidR="00874417">
        <w:fldChar w:fldCharType="begin"/>
      </w:r>
      <w:r w:rsidR="00B22052">
        <w:instrText xml:space="preserve"> REF _Ref23106150 \h </w:instrText>
      </w:r>
      <w:r w:rsidR="00874417">
        <w:fldChar w:fldCharType="separate"/>
      </w:r>
      <w:r w:rsidR="007C2804">
        <w:t xml:space="preserve">Figura </w:t>
      </w:r>
      <w:r w:rsidR="007C2804">
        <w:rPr>
          <w:noProof/>
        </w:rPr>
        <w:t>8</w:t>
      </w:r>
      <w:r w:rsidR="00874417">
        <w:fldChar w:fldCharType="end"/>
      </w:r>
      <w:r>
        <w:t xml:space="preserve"> as plumas de Hidrogênio na concentração de </w:t>
      </w:r>
      <w:r w:rsidR="00232260">
        <w:t>2</w:t>
      </w:r>
      <w:r>
        <w:t>0%LII</w:t>
      </w:r>
      <w:r w:rsidR="00232260">
        <w:t xml:space="preserve"> para os dois equipamentos nas direções de vazamento para baixo e nas direções cruzadas, todas para o vento norte. </w:t>
      </w:r>
    </w:p>
    <w:p w:rsidR="00B22052" w:rsidRDefault="00B22052" w:rsidP="00D05286">
      <w:r>
        <w:t xml:space="preserve">Na </w:t>
      </w:r>
      <w:r w:rsidR="00874417">
        <w:fldChar w:fldCharType="begin"/>
      </w:r>
      <w:r>
        <w:instrText xml:space="preserve"> REF _Ref23106150 \h </w:instrText>
      </w:r>
      <w:r w:rsidR="00874417">
        <w:fldChar w:fldCharType="separate"/>
      </w:r>
      <w:r w:rsidR="007C2804">
        <w:t xml:space="preserve">Figura </w:t>
      </w:r>
      <w:r w:rsidR="007C2804">
        <w:rPr>
          <w:noProof/>
        </w:rPr>
        <w:t>8</w:t>
      </w:r>
      <w:r w:rsidR="00874417">
        <w:fldChar w:fldCharType="end"/>
      </w:r>
      <w:r>
        <w:t xml:space="preserve"> é possível observar o detector definido pela planilha na cor vermelha e os três detectores definidos por CFD e </w:t>
      </w:r>
      <w:proofErr w:type="gramStart"/>
      <w:r>
        <w:t>otimização</w:t>
      </w:r>
      <w:proofErr w:type="gramEnd"/>
      <w:r>
        <w:t xml:space="preserve"> na cor amarela. Sendo que os detectores em amarelo detectam todos os 32 casos simulados. Entretanto, o detector posicionado pela planilha não detecta os quatro vazamentos gerados com a direção de vento norte, que é o vento preferencial.</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8"/>
      </w:tblGrid>
      <w:tr w:rsidR="00232260" w:rsidTr="00232260">
        <w:tc>
          <w:tcPr>
            <w:tcW w:w="4814" w:type="dxa"/>
          </w:tcPr>
          <w:p w:rsidR="00232260" w:rsidRDefault="00232260" w:rsidP="00DD79BF">
            <w:pPr>
              <w:ind w:firstLine="0"/>
            </w:pPr>
            <w:r>
              <w:rPr>
                <w:noProof/>
                <w:lang w:eastAsia="pt-BR"/>
              </w:rPr>
              <w:drawing>
                <wp:inline distT="0" distB="0" distL="0" distR="0">
                  <wp:extent cx="3240168" cy="2160000"/>
                  <wp:effectExtent l="0" t="0" r="0"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240168" cy="2160000"/>
                          </a:xfrm>
                          <a:prstGeom prst="rect">
                            <a:avLst/>
                          </a:prstGeom>
                          <a:noFill/>
                          <a:ln>
                            <a:noFill/>
                          </a:ln>
                        </pic:spPr>
                      </pic:pic>
                    </a:graphicData>
                  </a:graphic>
                </wp:inline>
              </w:drawing>
            </w:r>
          </w:p>
        </w:tc>
        <w:tc>
          <w:tcPr>
            <w:tcW w:w="4815" w:type="dxa"/>
          </w:tcPr>
          <w:p w:rsidR="00232260" w:rsidRDefault="00232260" w:rsidP="00DD79BF">
            <w:pPr>
              <w:ind w:firstLine="0"/>
            </w:pPr>
            <w:r>
              <w:rPr>
                <w:noProof/>
                <w:lang w:eastAsia="pt-BR"/>
              </w:rPr>
              <w:drawing>
                <wp:inline distT="0" distB="0" distL="0" distR="0">
                  <wp:extent cx="3240168" cy="2160000"/>
                  <wp:effectExtent l="0" t="0" r="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240168" cy="2160000"/>
                          </a:xfrm>
                          <a:prstGeom prst="rect">
                            <a:avLst/>
                          </a:prstGeom>
                          <a:noFill/>
                          <a:ln>
                            <a:noFill/>
                          </a:ln>
                        </pic:spPr>
                      </pic:pic>
                    </a:graphicData>
                  </a:graphic>
                </wp:inline>
              </w:drawing>
            </w:r>
          </w:p>
        </w:tc>
      </w:tr>
      <w:tr w:rsidR="00232260" w:rsidTr="00232260">
        <w:tc>
          <w:tcPr>
            <w:tcW w:w="4814" w:type="dxa"/>
          </w:tcPr>
          <w:p w:rsidR="00232260" w:rsidRDefault="00232260" w:rsidP="00DD79BF">
            <w:pPr>
              <w:ind w:firstLine="0"/>
            </w:pPr>
            <w:r>
              <w:t>(a)</w:t>
            </w:r>
          </w:p>
        </w:tc>
        <w:tc>
          <w:tcPr>
            <w:tcW w:w="4815" w:type="dxa"/>
          </w:tcPr>
          <w:p w:rsidR="00232260" w:rsidRDefault="00232260" w:rsidP="00DD79BF">
            <w:pPr>
              <w:ind w:firstLine="0"/>
            </w:pPr>
            <w:r>
              <w:t>(b)</w:t>
            </w:r>
          </w:p>
        </w:tc>
      </w:tr>
      <w:tr w:rsidR="00232260" w:rsidTr="00232260">
        <w:tc>
          <w:tcPr>
            <w:tcW w:w="4814" w:type="dxa"/>
          </w:tcPr>
          <w:p w:rsidR="00232260" w:rsidRDefault="00232260" w:rsidP="00DD79BF">
            <w:pPr>
              <w:ind w:firstLine="0"/>
            </w:pPr>
            <w:r>
              <w:rPr>
                <w:noProof/>
                <w:lang w:eastAsia="pt-BR"/>
              </w:rPr>
              <w:drawing>
                <wp:inline distT="0" distB="0" distL="0" distR="0">
                  <wp:extent cx="3240168" cy="2160000"/>
                  <wp:effectExtent l="0" t="0" r="0"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240168" cy="2160000"/>
                          </a:xfrm>
                          <a:prstGeom prst="rect">
                            <a:avLst/>
                          </a:prstGeom>
                          <a:noFill/>
                          <a:ln>
                            <a:noFill/>
                          </a:ln>
                        </pic:spPr>
                      </pic:pic>
                    </a:graphicData>
                  </a:graphic>
                </wp:inline>
              </w:drawing>
            </w:r>
          </w:p>
        </w:tc>
        <w:tc>
          <w:tcPr>
            <w:tcW w:w="4815" w:type="dxa"/>
          </w:tcPr>
          <w:p w:rsidR="00232260" w:rsidRDefault="00232260" w:rsidP="00DD79BF">
            <w:pPr>
              <w:ind w:firstLine="0"/>
            </w:pPr>
            <w:r>
              <w:rPr>
                <w:noProof/>
                <w:lang w:eastAsia="pt-BR"/>
              </w:rPr>
              <w:drawing>
                <wp:inline distT="0" distB="0" distL="0" distR="0">
                  <wp:extent cx="3240168" cy="2160000"/>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240168" cy="2160000"/>
                          </a:xfrm>
                          <a:prstGeom prst="rect">
                            <a:avLst/>
                          </a:prstGeom>
                          <a:noFill/>
                          <a:ln>
                            <a:noFill/>
                          </a:ln>
                        </pic:spPr>
                      </pic:pic>
                    </a:graphicData>
                  </a:graphic>
                </wp:inline>
              </w:drawing>
            </w:r>
          </w:p>
        </w:tc>
      </w:tr>
      <w:tr w:rsidR="00232260" w:rsidTr="00232260">
        <w:tc>
          <w:tcPr>
            <w:tcW w:w="4814" w:type="dxa"/>
          </w:tcPr>
          <w:p w:rsidR="00232260" w:rsidRDefault="00232260" w:rsidP="00DD79BF">
            <w:pPr>
              <w:ind w:firstLine="0"/>
            </w:pPr>
            <w:r>
              <w:t>(c)</w:t>
            </w:r>
          </w:p>
        </w:tc>
        <w:tc>
          <w:tcPr>
            <w:tcW w:w="4815" w:type="dxa"/>
          </w:tcPr>
          <w:p w:rsidR="00232260" w:rsidRDefault="00232260" w:rsidP="007722B5">
            <w:pPr>
              <w:keepNext/>
              <w:ind w:firstLine="0"/>
            </w:pPr>
            <w:r>
              <w:t>(d)</w:t>
            </w:r>
          </w:p>
        </w:tc>
      </w:tr>
    </w:tbl>
    <w:p w:rsidR="00232260" w:rsidRDefault="007722B5" w:rsidP="007722B5">
      <w:pPr>
        <w:pStyle w:val="Legenda"/>
      </w:pPr>
      <w:bookmarkStart w:id="17" w:name="_Ref23106150"/>
      <w:r>
        <w:t xml:space="preserve">Figura </w:t>
      </w:r>
      <w:r w:rsidR="00874417">
        <w:fldChar w:fldCharType="begin"/>
      </w:r>
      <w:r>
        <w:instrText xml:space="preserve"> SEQ Figura \* ARABIC </w:instrText>
      </w:r>
      <w:r w:rsidR="00874417">
        <w:fldChar w:fldCharType="separate"/>
      </w:r>
      <w:r w:rsidR="007C2804">
        <w:rPr>
          <w:noProof/>
        </w:rPr>
        <w:t>8</w:t>
      </w:r>
      <w:r w:rsidR="00874417">
        <w:fldChar w:fldCharType="end"/>
      </w:r>
      <w:bookmarkEnd w:id="17"/>
      <w:r>
        <w:t xml:space="preserve">: </w:t>
      </w:r>
      <w:r w:rsidRPr="007722B5">
        <w:rPr>
          <w:b w:val="0"/>
          <w:bCs w:val="0"/>
        </w:rPr>
        <w:t>Detecção dos vazamentos para baixo nos equipamentos E1 e E2, para leste no equipamento E1 e oeste no equipamento E2, com vento na direção norte.</w:t>
      </w:r>
    </w:p>
    <w:p w:rsidR="00B22052" w:rsidRPr="00B22052" w:rsidRDefault="00B22052" w:rsidP="00B22052"/>
    <w:p w:rsidR="002A1AE3" w:rsidRPr="00CB01EF" w:rsidRDefault="009109FD" w:rsidP="00D764C8">
      <w:pPr>
        <w:pStyle w:val="Ttulo1"/>
      </w:pPr>
      <w:r>
        <w:t>CONCLUSÕES</w:t>
      </w:r>
    </w:p>
    <w:p w:rsidR="00D05286" w:rsidRDefault="00D05286" w:rsidP="00D05286">
      <w:pPr>
        <w:ind w:left="284" w:firstLine="0"/>
      </w:pPr>
    </w:p>
    <w:p w:rsidR="00D05286" w:rsidRDefault="00D05286" w:rsidP="00D05286">
      <w:pPr>
        <w:ind w:firstLine="284"/>
      </w:pPr>
      <w:r>
        <w:t>Através das simulações realizadas é possível chagar as seguintes conclusões.</w:t>
      </w:r>
    </w:p>
    <w:p w:rsidR="00D87CE3" w:rsidRDefault="00D05286" w:rsidP="00880902">
      <w:bookmarkStart w:id="18" w:name="_GoBack"/>
      <w:bookmarkEnd w:id="18"/>
      <w:r>
        <w:t>A p</w:t>
      </w:r>
      <w:r w:rsidR="00D87CE3" w:rsidRPr="00D87CE3">
        <w:t xml:space="preserve">lanilha </w:t>
      </w:r>
      <w:proofErr w:type="spellStart"/>
      <w:r w:rsidR="00D87CE3" w:rsidRPr="00D87CE3">
        <w:t>excel</w:t>
      </w:r>
      <w:proofErr w:type="spellEnd"/>
      <w:r>
        <w:t xml:space="preserve"> apresenta-se como </w:t>
      </w:r>
      <w:proofErr w:type="spellStart"/>
      <w:r w:rsidR="00D87CE3" w:rsidRPr="00D87CE3">
        <w:t>como</w:t>
      </w:r>
      <w:proofErr w:type="spellEnd"/>
      <w:r w:rsidR="00D87CE3" w:rsidRPr="00D87CE3">
        <w:t xml:space="preserve"> um estudo simplificado</w:t>
      </w:r>
      <w:r>
        <w:t xml:space="preserve">, tendo </w:t>
      </w:r>
      <w:r w:rsidR="00D87CE3" w:rsidRPr="00D87CE3">
        <w:t>grande validade se aplicado no estudo básico de segurança e para selecionar cenários que entrarão em um estudo mais específico, como o estudo de dispersão (CFD)</w:t>
      </w:r>
      <w:r>
        <w:t xml:space="preserve">. Apresenta como limitação a utilização de </w:t>
      </w:r>
      <w:r w:rsidR="00D87CE3" w:rsidRPr="00D87CE3">
        <w:t xml:space="preserve">uma </w:t>
      </w:r>
      <w:r>
        <w:t xml:space="preserve">única </w:t>
      </w:r>
      <w:r w:rsidR="00D87CE3" w:rsidRPr="00D87CE3">
        <w:t>direção de vento</w:t>
      </w:r>
      <w:r>
        <w:t xml:space="preserve"> sem ao menos considerar a velocidade da mesma, não considera também os obstáculos presentes na geometria da unidade. Além disso, faz</w:t>
      </w:r>
      <w:r w:rsidR="00D87CE3" w:rsidRPr="00D87CE3">
        <w:t xml:space="preserve"> o posicionamento dos detectores de forma muito simplificada. </w:t>
      </w:r>
    </w:p>
    <w:p w:rsidR="00373302" w:rsidRPr="00CB01EF" w:rsidRDefault="00D05286" w:rsidP="00DB464B">
      <w:r>
        <w:t>Entretanto, ao utilizarmos a f</w:t>
      </w:r>
      <w:r w:rsidR="00D87CE3" w:rsidRPr="00D87CE3">
        <w:t>luidodinâmica computacional</w:t>
      </w:r>
      <w:r>
        <w:t xml:space="preserve"> juntamente </w:t>
      </w:r>
      <w:r w:rsidR="00D87CE3" w:rsidRPr="00D87CE3">
        <w:t xml:space="preserve">com otimização </w:t>
      </w:r>
      <w:r w:rsidR="00DB464B">
        <w:t xml:space="preserve">os dispositivos foram posicionados de forma técnica e eficiente para detectar os </w:t>
      </w:r>
      <w:r w:rsidR="00D87CE3" w:rsidRPr="00D87CE3">
        <w:t>vazamento</w:t>
      </w:r>
      <w:r w:rsidR="00DB464B">
        <w:t>s, v</w:t>
      </w:r>
      <w:r>
        <w:t xml:space="preserve">isto </w:t>
      </w:r>
      <w:r w:rsidR="00DB464B">
        <w:t>que com</w:t>
      </w:r>
      <w:r w:rsidR="00D87CE3" w:rsidRPr="00D87CE3">
        <w:t xml:space="preserve">CFD </w:t>
      </w:r>
      <w:r>
        <w:t xml:space="preserve">é </w:t>
      </w:r>
      <w:r>
        <w:lastRenderedPageBreak/>
        <w:t>possível</w:t>
      </w:r>
      <w:r w:rsidR="00D87CE3" w:rsidRPr="00D87CE3">
        <w:t>incluir a influência das variáveis importantes presentes na dispersão de gases (vento, congestionamentos, obstruções, ...)</w:t>
      </w:r>
      <w:r>
        <w:t xml:space="preserve">. Além disso, ainda podemos incluir como </w:t>
      </w:r>
      <w:r w:rsidR="00DB464B">
        <w:t xml:space="preserve">vantagens de CFD a grande quantidade de cenários possíveis, ser um estudo bem </w:t>
      </w:r>
      <w:r w:rsidR="00D87CE3" w:rsidRPr="00D87CE3">
        <w:t>difundido por diversas áreas da empresa</w:t>
      </w:r>
      <w:r w:rsidR="00DB464B">
        <w:t xml:space="preserve"> e seguir as </w:t>
      </w:r>
      <w:r w:rsidR="00D87CE3" w:rsidRPr="00D87CE3">
        <w:t xml:space="preserve">normas internas da </w:t>
      </w:r>
      <w:r w:rsidR="00DB464B">
        <w:t>Petrobras tanto para refinarias quanto para plataformas de petróleo.</w:t>
      </w:r>
    </w:p>
    <w:p w:rsidR="00711E18" w:rsidRPr="00CB01EF" w:rsidRDefault="00711E18" w:rsidP="00D764C8"/>
    <w:sdt>
      <w:sdtPr>
        <w:rPr>
          <w:b w:val="0"/>
          <w:color w:val="auto"/>
          <w:sz w:val="22"/>
          <w:szCs w:val="22"/>
        </w:rPr>
        <w:id w:val="-2071030568"/>
        <w:docPartObj>
          <w:docPartGallery w:val="Bibliographies"/>
          <w:docPartUnique/>
        </w:docPartObj>
      </w:sdtPr>
      <w:sdtContent>
        <w:p w:rsidR="00E66CA7" w:rsidRPr="00E66CA7" w:rsidRDefault="00E66CA7">
          <w:pPr>
            <w:pStyle w:val="Ttulo1"/>
          </w:pPr>
          <w:r w:rsidRPr="00E66CA7">
            <w:t>REFERÊNCIAS</w:t>
          </w:r>
        </w:p>
        <w:sdt>
          <w:sdtPr>
            <w:id w:val="-573587230"/>
            <w:bibliography/>
          </w:sdtPr>
          <w:sdtContent>
            <w:p w:rsidR="001017FD" w:rsidRDefault="00874417">
              <w:pPr>
                <w:rPr>
                  <w:rFonts w:asciiTheme="minorHAnsi" w:hAnsiTheme="minorHAnsi" w:cstheme="minorBidi"/>
                  <w:noProof/>
                  <w:lang w:val="en-US"/>
                </w:rPr>
              </w:pPr>
              <w:r w:rsidRPr="00874417">
                <w:fldChar w:fldCharType="begin"/>
              </w:r>
              <w:r w:rsidR="00E66CA7">
                <w:instrText>BIBLIOGRAPHY</w:instrText>
              </w:r>
              <w:r w:rsidRPr="00874417">
                <w:fldChar w:fldCharType="separate"/>
              </w:r>
            </w:p>
            <w:tbl>
              <w:tblPr>
                <w:tblW w:w="5000" w:type="pct"/>
                <w:tblCellSpacing w:w="15" w:type="dxa"/>
                <w:tblCellMar>
                  <w:top w:w="15" w:type="dxa"/>
                  <w:left w:w="15" w:type="dxa"/>
                  <w:bottom w:w="15" w:type="dxa"/>
                  <w:right w:w="15" w:type="dxa"/>
                </w:tblCellMar>
                <w:tblLook w:val="04A0"/>
              </w:tblPr>
              <w:tblGrid>
                <w:gridCol w:w="442"/>
                <w:gridCol w:w="9287"/>
              </w:tblGrid>
              <w:tr w:rsidR="001017FD">
                <w:trPr>
                  <w:divId w:val="336543366"/>
                  <w:tblCellSpacing w:w="15" w:type="dxa"/>
                </w:trPr>
                <w:tc>
                  <w:tcPr>
                    <w:tcW w:w="50" w:type="pct"/>
                    <w:hideMark/>
                  </w:tcPr>
                  <w:p w:rsidR="001017FD" w:rsidRDefault="001017FD">
                    <w:pPr>
                      <w:pStyle w:val="Bibliografia"/>
                      <w:rPr>
                        <w:noProof/>
                        <w:sz w:val="24"/>
                        <w:szCs w:val="24"/>
                      </w:rPr>
                    </w:pPr>
                    <w:r>
                      <w:rPr>
                        <w:noProof/>
                      </w:rPr>
                      <w:t xml:space="preserve">[1] </w:t>
                    </w:r>
                  </w:p>
                </w:tc>
                <w:tc>
                  <w:tcPr>
                    <w:tcW w:w="0" w:type="auto"/>
                    <w:hideMark/>
                  </w:tcPr>
                  <w:p w:rsidR="001017FD" w:rsidRDefault="001017FD">
                    <w:pPr>
                      <w:pStyle w:val="Bibliografia"/>
                      <w:rPr>
                        <w:noProof/>
                      </w:rPr>
                    </w:pPr>
                    <w:r>
                      <w:rPr>
                        <w:noProof/>
                      </w:rPr>
                      <w:t xml:space="preserve">J. P. M. Barcelos, </w:t>
                    </w:r>
                    <w:r>
                      <w:rPr>
                        <w:i/>
                        <w:iCs/>
                        <w:noProof/>
                      </w:rPr>
                      <w:t xml:space="preserve">Comparação de Simulações CFD em Regimes Estacionário e Transiente para Alocação de Sensores de Gases Inflamáveis em Unidade de Processamento de Petróleo Offshore, </w:t>
                    </w:r>
                    <w:r>
                      <w:rPr>
                        <w:noProof/>
                      </w:rPr>
                      <w:t xml:space="preserve">Dissertação (Mestrado em Tecnologia de Processos Químicos e Bioquímicos) - Universidade Federal do Rio de Janeiro, . Coorientador: Ricardo de Andrade Medronho, 2018. </w:t>
                    </w:r>
                  </w:p>
                </w:tc>
              </w:tr>
              <w:tr w:rsidR="001017FD">
                <w:trPr>
                  <w:divId w:val="336543366"/>
                  <w:tblCellSpacing w:w="15" w:type="dxa"/>
                </w:trPr>
                <w:tc>
                  <w:tcPr>
                    <w:tcW w:w="50" w:type="pct"/>
                    <w:hideMark/>
                  </w:tcPr>
                  <w:p w:rsidR="001017FD" w:rsidRDefault="001017FD">
                    <w:pPr>
                      <w:pStyle w:val="Bibliografia"/>
                      <w:rPr>
                        <w:noProof/>
                      </w:rPr>
                    </w:pPr>
                    <w:r>
                      <w:rPr>
                        <w:noProof/>
                      </w:rPr>
                      <w:t xml:space="preserve">[2] </w:t>
                    </w:r>
                  </w:p>
                </w:tc>
                <w:tc>
                  <w:tcPr>
                    <w:tcW w:w="0" w:type="auto"/>
                    <w:hideMark/>
                  </w:tcPr>
                  <w:p w:rsidR="001017FD" w:rsidRDefault="001017FD">
                    <w:pPr>
                      <w:pStyle w:val="Bibliografia"/>
                      <w:rPr>
                        <w:noProof/>
                      </w:rPr>
                    </w:pPr>
                    <w:r>
                      <w:rPr>
                        <w:noProof/>
                      </w:rPr>
                      <w:t xml:space="preserve">D. D. PINTO, </w:t>
                    </w:r>
                    <w:r>
                      <w:rPr>
                        <w:i/>
                        <w:iCs/>
                        <w:noProof/>
                      </w:rPr>
                      <w:t xml:space="preserve">Estratégias de Controle Contra Intermitência Severa na Alimentação de Separadores Offshore., </w:t>
                    </w:r>
                    <w:r>
                      <w:rPr>
                        <w:noProof/>
                      </w:rPr>
                      <w:t xml:space="preserve">Rio de Janeiro: Dissertação (Mestrado em Engenharia Química) – Escola de Química, Universidade Federal do Rio de Janeiro, 2009. </w:t>
                    </w:r>
                  </w:p>
                </w:tc>
              </w:tr>
              <w:tr w:rsidR="001017FD">
                <w:trPr>
                  <w:divId w:val="336543366"/>
                  <w:tblCellSpacing w:w="15" w:type="dxa"/>
                </w:trPr>
                <w:tc>
                  <w:tcPr>
                    <w:tcW w:w="50" w:type="pct"/>
                    <w:hideMark/>
                  </w:tcPr>
                  <w:p w:rsidR="001017FD" w:rsidRDefault="001017FD">
                    <w:pPr>
                      <w:pStyle w:val="Bibliografia"/>
                      <w:rPr>
                        <w:noProof/>
                      </w:rPr>
                    </w:pPr>
                    <w:r>
                      <w:rPr>
                        <w:noProof/>
                      </w:rPr>
                      <w:t xml:space="preserve">[3] </w:t>
                    </w:r>
                  </w:p>
                </w:tc>
                <w:tc>
                  <w:tcPr>
                    <w:tcW w:w="0" w:type="auto"/>
                    <w:hideMark/>
                  </w:tcPr>
                  <w:p w:rsidR="001017FD" w:rsidRDefault="001017FD">
                    <w:pPr>
                      <w:pStyle w:val="Bibliografia"/>
                      <w:rPr>
                        <w:noProof/>
                      </w:rPr>
                    </w:pPr>
                    <w:r>
                      <w:rPr>
                        <w:noProof/>
                      </w:rPr>
                      <w:t xml:space="preserve">G. DA PONTE JR, Gerenciamento de Riscos na Indústria de Petróleo e Gás, Rio de Janeiro: Elsevier, 2015. </w:t>
                    </w:r>
                  </w:p>
                </w:tc>
              </w:tr>
              <w:tr w:rsidR="001017FD">
                <w:trPr>
                  <w:divId w:val="336543366"/>
                  <w:tblCellSpacing w:w="15" w:type="dxa"/>
                </w:trPr>
                <w:tc>
                  <w:tcPr>
                    <w:tcW w:w="50" w:type="pct"/>
                    <w:hideMark/>
                  </w:tcPr>
                  <w:p w:rsidR="001017FD" w:rsidRDefault="001017FD">
                    <w:pPr>
                      <w:pStyle w:val="Bibliografia"/>
                      <w:rPr>
                        <w:noProof/>
                      </w:rPr>
                    </w:pPr>
                    <w:r>
                      <w:rPr>
                        <w:noProof/>
                      </w:rPr>
                      <w:t xml:space="preserve">[4] </w:t>
                    </w:r>
                  </w:p>
                </w:tc>
                <w:tc>
                  <w:tcPr>
                    <w:tcW w:w="0" w:type="auto"/>
                    <w:hideMark/>
                  </w:tcPr>
                  <w:p w:rsidR="001017FD" w:rsidRDefault="001017FD">
                    <w:pPr>
                      <w:pStyle w:val="Bibliografia"/>
                      <w:rPr>
                        <w:noProof/>
                      </w:rPr>
                    </w:pPr>
                    <w:r>
                      <w:rPr>
                        <w:noProof/>
                      </w:rPr>
                      <w:t xml:space="preserve">D. NOLAN, Handbook of Fire and Explosion Protection Engineering Principles: For Oil, Gas, Chemical and Related Facilities., Oxford: Elsevier Inc., 2011. </w:t>
                    </w:r>
                  </w:p>
                </w:tc>
              </w:tr>
              <w:tr w:rsidR="001017FD">
                <w:trPr>
                  <w:divId w:val="336543366"/>
                  <w:tblCellSpacing w:w="15" w:type="dxa"/>
                </w:trPr>
                <w:tc>
                  <w:tcPr>
                    <w:tcW w:w="50" w:type="pct"/>
                    <w:hideMark/>
                  </w:tcPr>
                  <w:p w:rsidR="001017FD" w:rsidRDefault="001017FD">
                    <w:pPr>
                      <w:pStyle w:val="Bibliografia"/>
                      <w:rPr>
                        <w:noProof/>
                      </w:rPr>
                    </w:pPr>
                    <w:r>
                      <w:rPr>
                        <w:noProof/>
                      </w:rPr>
                      <w:t xml:space="preserve">[5] </w:t>
                    </w:r>
                  </w:p>
                </w:tc>
                <w:tc>
                  <w:tcPr>
                    <w:tcW w:w="0" w:type="auto"/>
                    <w:hideMark/>
                  </w:tcPr>
                  <w:p w:rsidR="001017FD" w:rsidRDefault="001017FD">
                    <w:pPr>
                      <w:pStyle w:val="Bibliografia"/>
                      <w:rPr>
                        <w:noProof/>
                      </w:rPr>
                    </w:pPr>
                    <w:r>
                      <w:rPr>
                        <w:noProof/>
                      </w:rPr>
                      <w:t xml:space="preserve">AMERICAN PETROLEUM INSTITUTE (API)., </w:t>
                    </w:r>
                    <w:r>
                      <w:rPr>
                        <w:i/>
                        <w:iCs/>
                        <w:noProof/>
                      </w:rPr>
                      <w:t xml:space="preserve">Recommended Practice 14C, Recommended Practice for Analysis, Design, Installation, and Testing of Basic Surface Safety Systems for Offshore Production Platforms,, </w:t>
                    </w:r>
                    <w:r>
                      <w:rPr>
                        <w:noProof/>
                      </w:rPr>
                      <w:t xml:space="preserve">seventh ed, ed., 2001. </w:t>
                    </w:r>
                  </w:p>
                </w:tc>
              </w:tr>
              <w:tr w:rsidR="001017FD">
                <w:trPr>
                  <w:divId w:val="336543366"/>
                  <w:tblCellSpacing w:w="15" w:type="dxa"/>
                </w:trPr>
                <w:tc>
                  <w:tcPr>
                    <w:tcW w:w="50" w:type="pct"/>
                    <w:hideMark/>
                  </w:tcPr>
                  <w:p w:rsidR="001017FD" w:rsidRDefault="001017FD">
                    <w:pPr>
                      <w:pStyle w:val="Bibliografia"/>
                      <w:rPr>
                        <w:noProof/>
                      </w:rPr>
                    </w:pPr>
                    <w:r>
                      <w:rPr>
                        <w:noProof/>
                      </w:rPr>
                      <w:t xml:space="preserve">[6] </w:t>
                    </w:r>
                  </w:p>
                </w:tc>
                <w:tc>
                  <w:tcPr>
                    <w:tcW w:w="0" w:type="auto"/>
                    <w:hideMark/>
                  </w:tcPr>
                  <w:p w:rsidR="001017FD" w:rsidRDefault="001017FD">
                    <w:pPr>
                      <w:pStyle w:val="Bibliografia"/>
                      <w:rPr>
                        <w:noProof/>
                      </w:rPr>
                    </w:pPr>
                    <w:r>
                      <w:rPr>
                        <w:noProof/>
                      </w:rPr>
                      <w:t xml:space="preserve">NORSOK STANDARD, </w:t>
                    </w:r>
                    <w:r>
                      <w:rPr>
                        <w:i/>
                        <w:iCs/>
                        <w:noProof/>
                      </w:rPr>
                      <w:t xml:space="preserve">S-001. Technical Safety., </w:t>
                    </w:r>
                    <w:r>
                      <w:rPr>
                        <w:noProof/>
                      </w:rPr>
                      <w:t xml:space="preserve">Edition 4. ed., 2008. </w:t>
                    </w:r>
                  </w:p>
                </w:tc>
              </w:tr>
              <w:tr w:rsidR="001017FD">
                <w:trPr>
                  <w:divId w:val="336543366"/>
                  <w:tblCellSpacing w:w="15" w:type="dxa"/>
                </w:trPr>
                <w:tc>
                  <w:tcPr>
                    <w:tcW w:w="50" w:type="pct"/>
                    <w:hideMark/>
                  </w:tcPr>
                  <w:p w:rsidR="001017FD" w:rsidRDefault="001017FD">
                    <w:pPr>
                      <w:pStyle w:val="Bibliografia"/>
                      <w:rPr>
                        <w:noProof/>
                      </w:rPr>
                    </w:pPr>
                    <w:r>
                      <w:rPr>
                        <w:noProof/>
                      </w:rPr>
                      <w:t xml:space="preserve">[7] </w:t>
                    </w:r>
                  </w:p>
                </w:tc>
                <w:tc>
                  <w:tcPr>
                    <w:tcW w:w="0" w:type="auto"/>
                    <w:hideMark/>
                  </w:tcPr>
                  <w:p w:rsidR="001017FD" w:rsidRDefault="001017FD">
                    <w:pPr>
                      <w:pStyle w:val="Bibliografia"/>
                      <w:rPr>
                        <w:noProof/>
                      </w:rPr>
                    </w:pPr>
                    <w:r>
                      <w:rPr>
                        <w:noProof/>
                      </w:rPr>
                      <w:t xml:space="preserve">ASSOCIAÇÃO BRASILEIRA DE NORMAS TÉCNICAS (ABNT), </w:t>
                    </w:r>
                    <w:r>
                      <w:rPr>
                        <w:i/>
                        <w:iCs/>
                        <w:noProof/>
                      </w:rPr>
                      <w:t xml:space="preserve">NBR IEC 60079-29-2: Atmosferas Explosivas. Parte 29.2: Detectores de gases – Seleção, instalação, utilização e manutenção de detectores para gases inflamáveis e oxigênio, </w:t>
                    </w:r>
                    <w:r>
                      <w:rPr>
                        <w:noProof/>
                      </w:rPr>
                      <w:t xml:space="preserve">2011. </w:t>
                    </w:r>
                  </w:p>
                </w:tc>
              </w:tr>
              <w:tr w:rsidR="001017FD">
                <w:trPr>
                  <w:divId w:val="336543366"/>
                  <w:tblCellSpacing w:w="15" w:type="dxa"/>
                </w:trPr>
                <w:tc>
                  <w:tcPr>
                    <w:tcW w:w="50" w:type="pct"/>
                    <w:hideMark/>
                  </w:tcPr>
                  <w:p w:rsidR="001017FD" w:rsidRDefault="001017FD">
                    <w:pPr>
                      <w:pStyle w:val="Bibliografia"/>
                      <w:rPr>
                        <w:noProof/>
                      </w:rPr>
                    </w:pPr>
                    <w:r>
                      <w:rPr>
                        <w:noProof/>
                      </w:rPr>
                      <w:t xml:space="preserve">[8] </w:t>
                    </w:r>
                  </w:p>
                </w:tc>
                <w:tc>
                  <w:tcPr>
                    <w:tcW w:w="0" w:type="auto"/>
                    <w:hideMark/>
                  </w:tcPr>
                  <w:p w:rsidR="001017FD" w:rsidRDefault="001017FD">
                    <w:pPr>
                      <w:pStyle w:val="Bibliografia"/>
                      <w:rPr>
                        <w:noProof/>
                      </w:rPr>
                    </w:pPr>
                    <w:r>
                      <w:rPr>
                        <w:noProof/>
                      </w:rPr>
                      <w:t xml:space="preserve">S. DAVIS, O. HANSEN, F. GAVELLI e A. BRATTETEIG, “Using CFD to Analyze Gas Detector Placement in Process Facilities,” </w:t>
                    </w:r>
                    <w:r>
                      <w:rPr>
                        <w:i/>
                        <w:iCs/>
                        <w:noProof/>
                      </w:rPr>
                      <w:t xml:space="preserve">Conference: Mary Kay O’Connor Process Safety Center Symposium 2011 At: College Station, Texas, USA. Volume: International Process Safety Symposium,, </w:t>
                    </w:r>
                    <w:r>
                      <w:rPr>
                        <w:noProof/>
                      </w:rPr>
                      <w:t xml:space="preserve">2011. </w:t>
                    </w:r>
                  </w:p>
                </w:tc>
              </w:tr>
              <w:tr w:rsidR="001017FD">
                <w:trPr>
                  <w:divId w:val="336543366"/>
                  <w:tblCellSpacing w:w="15" w:type="dxa"/>
                </w:trPr>
                <w:tc>
                  <w:tcPr>
                    <w:tcW w:w="50" w:type="pct"/>
                    <w:hideMark/>
                  </w:tcPr>
                  <w:p w:rsidR="001017FD" w:rsidRDefault="001017FD">
                    <w:pPr>
                      <w:pStyle w:val="Bibliografia"/>
                      <w:rPr>
                        <w:noProof/>
                      </w:rPr>
                    </w:pPr>
                    <w:r>
                      <w:rPr>
                        <w:noProof/>
                      </w:rPr>
                      <w:t xml:space="preserve">[9] </w:t>
                    </w:r>
                  </w:p>
                </w:tc>
                <w:tc>
                  <w:tcPr>
                    <w:tcW w:w="0" w:type="auto"/>
                    <w:hideMark/>
                  </w:tcPr>
                  <w:p w:rsidR="001017FD" w:rsidRDefault="001017FD">
                    <w:pPr>
                      <w:pStyle w:val="Bibliografia"/>
                      <w:rPr>
                        <w:noProof/>
                      </w:rPr>
                    </w:pPr>
                    <w:r>
                      <w:rPr>
                        <w:noProof/>
                      </w:rPr>
                      <w:t xml:space="preserve">ISA-RP12.13.02-2003, </w:t>
                    </w:r>
                    <w:r>
                      <w:rPr>
                        <w:i/>
                        <w:iCs/>
                        <w:noProof/>
                      </w:rPr>
                      <w:t xml:space="preserve">Recommended Practice for the Installation, Operation, and Maintenance of Combustible Gas Detection Instruments, </w:t>
                    </w:r>
                    <w:r>
                      <w:rPr>
                        <w:noProof/>
                      </w:rPr>
                      <w:t xml:space="preserve">2003. </w:t>
                    </w:r>
                  </w:p>
                </w:tc>
              </w:tr>
              <w:tr w:rsidR="001017FD">
                <w:trPr>
                  <w:divId w:val="336543366"/>
                  <w:tblCellSpacing w:w="15" w:type="dxa"/>
                </w:trPr>
                <w:tc>
                  <w:tcPr>
                    <w:tcW w:w="50" w:type="pct"/>
                    <w:hideMark/>
                  </w:tcPr>
                  <w:p w:rsidR="001017FD" w:rsidRDefault="001017FD">
                    <w:pPr>
                      <w:pStyle w:val="Bibliografia"/>
                      <w:rPr>
                        <w:noProof/>
                      </w:rPr>
                    </w:pPr>
                    <w:r>
                      <w:rPr>
                        <w:noProof/>
                      </w:rPr>
                      <w:t xml:space="preserve">[10] </w:t>
                    </w:r>
                  </w:p>
                </w:tc>
                <w:tc>
                  <w:tcPr>
                    <w:tcW w:w="0" w:type="auto"/>
                    <w:hideMark/>
                  </w:tcPr>
                  <w:p w:rsidR="001017FD" w:rsidRDefault="001017FD">
                    <w:pPr>
                      <w:pStyle w:val="Bibliografia"/>
                      <w:rPr>
                        <w:noProof/>
                      </w:rPr>
                    </w:pPr>
                    <w:r>
                      <w:rPr>
                        <w:noProof/>
                      </w:rPr>
                      <w:t xml:space="preserve">J. BASTOS, </w:t>
                    </w:r>
                    <w:r>
                      <w:rPr>
                        <w:i/>
                        <w:iCs/>
                        <w:noProof/>
                      </w:rPr>
                      <w:t xml:space="preserve">Comparação de Resultados de Simulação de Dispersão de Gases em Plataformas Marítimas Utilizando CFD e Modelos Empíricos., </w:t>
                    </w:r>
                    <w:r>
                      <w:rPr>
                        <w:noProof/>
                      </w:rPr>
                      <w:t xml:space="preserve">Rio de Janeiro, 2006. </w:t>
                    </w:r>
                  </w:p>
                </w:tc>
              </w:tr>
              <w:tr w:rsidR="001017FD">
                <w:trPr>
                  <w:divId w:val="336543366"/>
                  <w:tblCellSpacing w:w="15" w:type="dxa"/>
                </w:trPr>
                <w:tc>
                  <w:tcPr>
                    <w:tcW w:w="50" w:type="pct"/>
                    <w:hideMark/>
                  </w:tcPr>
                  <w:p w:rsidR="001017FD" w:rsidRDefault="001017FD">
                    <w:pPr>
                      <w:pStyle w:val="Bibliografia"/>
                      <w:rPr>
                        <w:noProof/>
                      </w:rPr>
                    </w:pPr>
                    <w:r>
                      <w:rPr>
                        <w:noProof/>
                      </w:rPr>
                      <w:t xml:space="preserve">[11] </w:t>
                    </w:r>
                  </w:p>
                </w:tc>
                <w:tc>
                  <w:tcPr>
                    <w:tcW w:w="0" w:type="auto"/>
                    <w:hideMark/>
                  </w:tcPr>
                  <w:p w:rsidR="001017FD" w:rsidRDefault="001017FD">
                    <w:pPr>
                      <w:pStyle w:val="Bibliografia"/>
                      <w:rPr>
                        <w:noProof/>
                      </w:rPr>
                    </w:pPr>
                    <w:r>
                      <w:rPr>
                        <w:noProof/>
                      </w:rPr>
                      <w:t xml:space="preserve">A. B. FLECK, </w:t>
                    </w:r>
                    <w:r>
                      <w:rPr>
                        <w:i/>
                        <w:iCs/>
                        <w:noProof/>
                      </w:rPr>
                      <w:t xml:space="preserve">Dispersão de Gases Inflamáveis em Plataforma Offshore: Localização de Detectores., </w:t>
                    </w:r>
                    <w:r>
                      <w:rPr>
                        <w:noProof/>
                      </w:rPr>
                      <w:t xml:space="preserve">Dissertação de Mestrado – Universidade Federal do Rio de Janeiro,, 2008. </w:t>
                    </w:r>
                  </w:p>
                </w:tc>
              </w:tr>
              <w:tr w:rsidR="001017FD">
                <w:trPr>
                  <w:divId w:val="336543366"/>
                  <w:tblCellSpacing w:w="15" w:type="dxa"/>
                </w:trPr>
                <w:tc>
                  <w:tcPr>
                    <w:tcW w:w="50" w:type="pct"/>
                    <w:hideMark/>
                  </w:tcPr>
                  <w:p w:rsidR="001017FD" w:rsidRDefault="001017FD">
                    <w:pPr>
                      <w:pStyle w:val="Bibliografia"/>
                      <w:rPr>
                        <w:noProof/>
                      </w:rPr>
                    </w:pPr>
                    <w:r>
                      <w:rPr>
                        <w:noProof/>
                      </w:rPr>
                      <w:t xml:space="preserve">[12] </w:t>
                    </w:r>
                  </w:p>
                </w:tc>
                <w:tc>
                  <w:tcPr>
                    <w:tcW w:w="0" w:type="auto"/>
                    <w:hideMark/>
                  </w:tcPr>
                  <w:p w:rsidR="001017FD" w:rsidRDefault="001017FD">
                    <w:pPr>
                      <w:pStyle w:val="Bibliografia"/>
                      <w:rPr>
                        <w:noProof/>
                      </w:rPr>
                    </w:pPr>
                    <w:r>
                      <w:rPr>
                        <w:noProof/>
                      </w:rPr>
                      <w:t xml:space="preserve">A. RAD, D. RASHTCHIAN e N. BADRI, “A risk-based methodology for optimum placement of flammable gas detectors within open process plants,” </w:t>
                    </w:r>
                    <w:r>
                      <w:rPr>
                        <w:i/>
                        <w:iCs/>
                        <w:noProof/>
                      </w:rPr>
                      <w:t xml:space="preserve">Process Safety and Environmental Protection, </w:t>
                    </w:r>
                    <w:r>
                      <w:rPr>
                        <w:noProof/>
                      </w:rPr>
                      <w:t xml:space="preserve">vol. 105, pp. 175-183, 2017. </w:t>
                    </w:r>
                  </w:p>
                </w:tc>
              </w:tr>
              <w:tr w:rsidR="001017FD">
                <w:trPr>
                  <w:divId w:val="336543366"/>
                  <w:tblCellSpacing w:w="15" w:type="dxa"/>
                </w:trPr>
                <w:tc>
                  <w:tcPr>
                    <w:tcW w:w="50" w:type="pct"/>
                    <w:hideMark/>
                  </w:tcPr>
                  <w:p w:rsidR="001017FD" w:rsidRDefault="001017FD">
                    <w:pPr>
                      <w:pStyle w:val="Bibliografia"/>
                      <w:rPr>
                        <w:noProof/>
                      </w:rPr>
                    </w:pPr>
                    <w:r>
                      <w:rPr>
                        <w:noProof/>
                      </w:rPr>
                      <w:lastRenderedPageBreak/>
                      <w:t xml:space="preserve">[13] </w:t>
                    </w:r>
                  </w:p>
                </w:tc>
                <w:tc>
                  <w:tcPr>
                    <w:tcW w:w="0" w:type="auto"/>
                    <w:hideMark/>
                  </w:tcPr>
                  <w:p w:rsidR="001017FD" w:rsidRDefault="001017FD">
                    <w:pPr>
                      <w:pStyle w:val="Bibliografia"/>
                      <w:rPr>
                        <w:noProof/>
                      </w:rPr>
                    </w:pPr>
                    <w:r>
                      <w:rPr>
                        <w:noProof/>
                      </w:rPr>
                      <w:t xml:space="preserve">E. G. GOMES, R. A. MEDRONHO e J. V. B. ALVES, “Gas Detector Placement in Petroleum Process Unit Using Computational Fluid Dynamics,” </w:t>
                    </w:r>
                    <w:r>
                      <w:rPr>
                        <w:i/>
                        <w:iCs/>
                        <w:noProof/>
                      </w:rPr>
                      <w:t xml:space="preserve">International Journal of Modeling and Simulation for the Petroleum Industry (Online), </w:t>
                    </w:r>
                    <w:r>
                      <w:rPr>
                        <w:noProof/>
                      </w:rPr>
                      <w:t xml:space="preserve">vol. 8, pp. 17-24, 2014. </w:t>
                    </w:r>
                  </w:p>
                </w:tc>
              </w:tr>
              <w:tr w:rsidR="001017FD">
                <w:trPr>
                  <w:divId w:val="336543366"/>
                  <w:tblCellSpacing w:w="15" w:type="dxa"/>
                </w:trPr>
                <w:tc>
                  <w:tcPr>
                    <w:tcW w:w="50" w:type="pct"/>
                    <w:hideMark/>
                  </w:tcPr>
                  <w:p w:rsidR="001017FD" w:rsidRDefault="001017FD">
                    <w:pPr>
                      <w:pStyle w:val="Bibliografia"/>
                      <w:rPr>
                        <w:noProof/>
                      </w:rPr>
                    </w:pPr>
                    <w:r>
                      <w:rPr>
                        <w:noProof/>
                      </w:rPr>
                      <w:t xml:space="preserve">[14] </w:t>
                    </w:r>
                  </w:p>
                </w:tc>
                <w:tc>
                  <w:tcPr>
                    <w:tcW w:w="0" w:type="auto"/>
                    <w:hideMark/>
                  </w:tcPr>
                  <w:p w:rsidR="001017FD" w:rsidRDefault="001017FD">
                    <w:pPr>
                      <w:pStyle w:val="Bibliografia"/>
                      <w:rPr>
                        <w:noProof/>
                      </w:rPr>
                    </w:pPr>
                    <w:r>
                      <w:rPr>
                        <w:noProof/>
                      </w:rPr>
                      <w:t xml:space="preserve">R. e. a. VÁZQUEZ-ROMÁN, “A CFD-based approach for gas detectors allocation,” </w:t>
                    </w:r>
                    <w:r>
                      <w:rPr>
                        <w:i/>
                        <w:iCs/>
                        <w:noProof/>
                      </w:rPr>
                      <w:t xml:space="preserve">Journal of Loss Prevention in the Process Industries, </w:t>
                    </w:r>
                    <w:r>
                      <w:rPr>
                        <w:noProof/>
                      </w:rPr>
                      <w:t xml:space="preserve">vol. 44, p. 633–641, 2016. </w:t>
                    </w:r>
                  </w:p>
                </w:tc>
              </w:tr>
              <w:tr w:rsidR="001017FD">
                <w:trPr>
                  <w:divId w:val="336543366"/>
                  <w:tblCellSpacing w:w="15" w:type="dxa"/>
                </w:trPr>
                <w:tc>
                  <w:tcPr>
                    <w:tcW w:w="50" w:type="pct"/>
                    <w:hideMark/>
                  </w:tcPr>
                  <w:p w:rsidR="001017FD" w:rsidRDefault="001017FD">
                    <w:pPr>
                      <w:pStyle w:val="Bibliografia"/>
                      <w:rPr>
                        <w:noProof/>
                      </w:rPr>
                    </w:pPr>
                    <w:r>
                      <w:rPr>
                        <w:noProof/>
                      </w:rPr>
                      <w:t xml:space="preserve">[15] </w:t>
                    </w:r>
                  </w:p>
                </w:tc>
                <w:tc>
                  <w:tcPr>
                    <w:tcW w:w="0" w:type="auto"/>
                    <w:hideMark/>
                  </w:tcPr>
                  <w:p w:rsidR="001017FD" w:rsidRDefault="001017FD">
                    <w:pPr>
                      <w:pStyle w:val="Bibliografia"/>
                      <w:rPr>
                        <w:noProof/>
                      </w:rPr>
                    </w:pPr>
                    <w:r>
                      <w:rPr>
                        <w:noProof/>
                      </w:rPr>
                      <w:t xml:space="preserve">K. e. a. CEN, “A risk-based methodology for the optimal placement of hazardous gas detectors,” </w:t>
                    </w:r>
                    <w:r>
                      <w:rPr>
                        <w:i/>
                        <w:iCs/>
                        <w:noProof/>
                      </w:rPr>
                      <w:t xml:space="preserve">Chinese Journal of Chemical Engineering, </w:t>
                    </w:r>
                    <w:r>
                      <w:rPr>
                        <w:noProof/>
                      </w:rPr>
                      <w:t xml:space="preserve">vol. 26, nº 5, p. 1078–1086, 2018. </w:t>
                    </w:r>
                  </w:p>
                </w:tc>
              </w:tr>
              <w:tr w:rsidR="001017FD">
                <w:trPr>
                  <w:divId w:val="336543366"/>
                  <w:tblCellSpacing w:w="15" w:type="dxa"/>
                </w:trPr>
                <w:tc>
                  <w:tcPr>
                    <w:tcW w:w="50" w:type="pct"/>
                    <w:hideMark/>
                  </w:tcPr>
                  <w:p w:rsidR="001017FD" w:rsidRDefault="001017FD">
                    <w:pPr>
                      <w:pStyle w:val="Bibliografia"/>
                      <w:rPr>
                        <w:noProof/>
                      </w:rPr>
                    </w:pPr>
                    <w:r>
                      <w:rPr>
                        <w:noProof/>
                      </w:rPr>
                      <w:t xml:space="preserve">[16] </w:t>
                    </w:r>
                  </w:p>
                </w:tc>
                <w:tc>
                  <w:tcPr>
                    <w:tcW w:w="0" w:type="auto"/>
                    <w:hideMark/>
                  </w:tcPr>
                  <w:p w:rsidR="001017FD" w:rsidRDefault="001017FD">
                    <w:pPr>
                      <w:pStyle w:val="Bibliografia"/>
                      <w:rPr>
                        <w:noProof/>
                      </w:rPr>
                    </w:pPr>
                    <w:r>
                      <w:rPr>
                        <w:noProof/>
                      </w:rPr>
                      <w:t xml:space="preserve">HEALTH &amp; SAFETY EXECUTIVE (HSE)., </w:t>
                    </w:r>
                    <w:r>
                      <w:rPr>
                        <w:i/>
                        <w:iCs/>
                        <w:noProof/>
                      </w:rPr>
                      <w:t xml:space="preserve">Offshore Hydrocarbon Releases Statistics. Hid Statistics Report HSR 2001 002, </w:t>
                    </w:r>
                    <w:r>
                      <w:rPr>
                        <w:noProof/>
                      </w:rPr>
                      <w:t xml:space="preserve">2002. </w:t>
                    </w:r>
                  </w:p>
                </w:tc>
              </w:tr>
              <w:tr w:rsidR="001017FD">
                <w:trPr>
                  <w:divId w:val="336543366"/>
                  <w:tblCellSpacing w:w="15" w:type="dxa"/>
                </w:trPr>
                <w:tc>
                  <w:tcPr>
                    <w:tcW w:w="50" w:type="pct"/>
                    <w:hideMark/>
                  </w:tcPr>
                  <w:p w:rsidR="001017FD" w:rsidRDefault="001017FD">
                    <w:pPr>
                      <w:pStyle w:val="Bibliografia"/>
                      <w:rPr>
                        <w:noProof/>
                      </w:rPr>
                    </w:pPr>
                    <w:r>
                      <w:rPr>
                        <w:noProof/>
                      </w:rPr>
                      <w:t xml:space="preserve">[17] </w:t>
                    </w:r>
                  </w:p>
                </w:tc>
                <w:tc>
                  <w:tcPr>
                    <w:tcW w:w="0" w:type="auto"/>
                    <w:hideMark/>
                  </w:tcPr>
                  <w:p w:rsidR="001017FD" w:rsidRDefault="001017FD">
                    <w:pPr>
                      <w:pStyle w:val="Bibliografia"/>
                      <w:rPr>
                        <w:noProof/>
                      </w:rPr>
                    </w:pPr>
                    <w:r>
                      <w:rPr>
                        <w:noProof/>
                      </w:rPr>
                      <w:t xml:space="preserve">DNV, </w:t>
                    </w:r>
                    <w:r>
                      <w:rPr>
                        <w:i/>
                        <w:iCs/>
                        <w:noProof/>
                      </w:rPr>
                      <w:t xml:space="preserve">Failure Frequency Guidance: Process Equipment Leak Frequency Data for Use in QRA, </w:t>
                    </w:r>
                    <w:r>
                      <w:rPr>
                        <w:noProof/>
                      </w:rPr>
                      <w:t xml:space="preserve">2013. </w:t>
                    </w:r>
                  </w:p>
                </w:tc>
              </w:tr>
              <w:tr w:rsidR="001017FD">
                <w:trPr>
                  <w:divId w:val="336543366"/>
                  <w:tblCellSpacing w:w="15" w:type="dxa"/>
                </w:trPr>
                <w:tc>
                  <w:tcPr>
                    <w:tcW w:w="50" w:type="pct"/>
                    <w:hideMark/>
                  </w:tcPr>
                  <w:p w:rsidR="001017FD" w:rsidRDefault="001017FD">
                    <w:pPr>
                      <w:pStyle w:val="Bibliografia"/>
                      <w:rPr>
                        <w:noProof/>
                      </w:rPr>
                    </w:pPr>
                    <w:r>
                      <w:rPr>
                        <w:noProof/>
                      </w:rPr>
                      <w:t xml:space="preserve">[18] </w:t>
                    </w:r>
                  </w:p>
                </w:tc>
                <w:tc>
                  <w:tcPr>
                    <w:tcW w:w="0" w:type="auto"/>
                    <w:hideMark/>
                  </w:tcPr>
                  <w:p w:rsidR="001017FD" w:rsidRDefault="001017FD">
                    <w:pPr>
                      <w:pStyle w:val="Bibliografia"/>
                      <w:rPr>
                        <w:noProof/>
                      </w:rPr>
                    </w:pPr>
                    <w:r>
                      <w:rPr>
                        <w:noProof/>
                      </w:rPr>
                      <w:t xml:space="preserve">TNO, </w:t>
                    </w:r>
                    <w:r>
                      <w:rPr>
                        <w:i/>
                        <w:iCs/>
                        <w:noProof/>
                      </w:rPr>
                      <w:t xml:space="preserve">Guidelines for Quantitative Risk Assessment: (Purple Book). CPR18E, </w:t>
                    </w:r>
                    <w:r>
                      <w:rPr>
                        <w:noProof/>
                      </w:rPr>
                      <w:t xml:space="preserve">3a Edição, 2015. </w:t>
                    </w:r>
                  </w:p>
                </w:tc>
              </w:tr>
              <w:tr w:rsidR="001017FD">
                <w:trPr>
                  <w:divId w:val="336543366"/>
                  <w:tblCellSpacing w:w="15" w:type="dxa"/>
                </w:trPr>
                <w:tc>
                  <w:tcPr>
                    <w:tcW w:w="50" w:type="pct"/>
                    <w:hideMark/>
                  </w:tcPr>
                  <w:p w:rsidR="001017FD" w:rsidRDefault="001017FD">
                    <w:pPr>
                      <w:pStyle w:val="Bibliografia"/>
                      <w:rPr>
                        <w:noProof/>
                      </w:rPr>
                    </w:pPr>
                    <w:r>
                      <w:rPr>
                        <w:noProof/>
                      </w:rPr>
                      <w:t xml:space="preserve">[19] </w:t>
                    </w:r>
                  </w:p>
                </w:tc>
                <w:tc>
                  <w:tcPr>
                    <w:tcW w:w="0" w:type="auto"/>
                    <w:hideMark/>
                  </w:tcPr>
                  <w:p w:rsidR="001017FD" w:rsidRDefault="001017FD">
                    <w:pPr>
                      <w:pStyle w:val="Bibliografia"/>
                      <w:rPr>
                        <w:noProof/>
                      </w:rPr>
                    </w:pPr>
                    <w:r>
                      <w:rPr>
                        <w:noProof/>
                      </w:rPr>
                      <w:t xml:space="preserve">E. G. Gomes, </w:t>
                    </w:r>
                    <w:r>
                      <w:rPr>
                        <w:i/>
                        <w:iCs/>
                        <w:noProof/>
                      </w:rPr>
                      <w:t xml:space="preserve">Dispersão de Gases Tóxicos, </w:t>
                    </w:r>
                    <w:r>
                      <w:rPr>
                        <w:noProof/>
                      </w:rPr>
                      <w:t xml:space="preserve">Dissertação (Mestrado em Tecnologia dos Processos Químicos e Bioquímicos) - Universidade Federal do Rio de Janeiro, . Orientador: Ricardo de Andrade Medronho. , 2012. </w:t>
                    </w:r>
                  </w:p>
                </w:tc>
              </w:tr>
            </w:tbl>
            <w:p w:rsidR="001017FD" w:rsidRDefault="001017FD">
              <w:pPr>
                <w:divId w:val="336543366"/>
                <w:rPr>
                  <w:rFonts w:eastAsia="Times New Roman"/>
                  <w:noProof/>
                </w:rPr>
              </w:pPr>
            </w:p>
            <w:p w:rsidR="00E66CA7" w:rsidRDefault="00874417">
              <w:r>
                <w:rPr>
                  <w:b/>
                  <w:bCs/>
                </w:rPr>
                <w:fldChar w:fldCharType="end"/>
              </w:r>
            </w:p>
          </w:sdtContent>
        </w:sdt>
      </w:sdtContent>
    </w:sdt>
    <w:p w:rsidR="00711E18" w:rsidRPr="00CB01EF" w:rsidRDefault="00711E18" w:rsidP="00D764C8"/>
    <w:p w:rsidR="00082556" w:rsidRPr="00CB01EF" w:rsidRDefault="00082556" w:rsidP="00D764C8"/>
    <w:p w:rsidR="00082556" w:rsidRPr="00CB01EF" w:rsidRDefault="00082556" w:rsidP="00D764C8"/>
    <w:p w:rsidR="00082556" w:rsidRPr="00CB01EF" w:rsidRDefault="00082556" w:rsidP="00D764C8"/>
    <w:p w:rsidR="00082556" w:rsidRPr="00CB01EF" w:rsidRDefault="00082556" w:rsidP="00D764C8"/>
    <w:p w:rsidR="00082556" w:rsidRPr="00CB01EF" w:rsidRDefault="00082556" w:rsidP="00D764C8">
      <w:r w:rsidRPr="00CB01EF">
        <w:tab/>
      </w:r>
    </w:p>
    <w:sectPr w:rsidR="00082556" w:rsidRPr="00CB01EF" w:rsidSect="00DC766A">
      <w:headerReference w:type="default" r:id="rId23"/>
      <w:headerReference w:type="first" r:id="rId24"/>
      <w:footerReference w:type="first" r:id="rId25"/>
      <w:pgSz w:w="11906" w:h="16838"/>
      <w:pgMar w:top="1417" w:right="1133" w:bottom="1417"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21E6" w:rsidRDefault="00D021E6" w:rsidP="00D764C8">
      <w:r>
        <w:separator/>
      </w:r>
    </w:p>
  </w:endnote>
  <w:endnote w:type="continuationSeparator" w:id="1">
    <w:p w:rsidR="00D021E6" w:rsidRDefault="00D021E6" w:rsidP="00D764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896" w:rsidRPr="00DC766A" w:rsidRDefault="007A2896" w:rsidP="00D764C8">
    <w:pPr>
      <w:pStyle w:val="Rodap"/>
    </w:pPr>
    <w:r w:rsidRPr="00DC766A">
      <w:t>1 MS</w:t>
    </w:r>
    <w:r>
      <w:t>c</w:t>
    </w:r>
    <w:r w:rsidRPr="00DC766A">
      <w:t xml:space="preserve">, Engenheiro </w:t>
    </w:r>
    <w:r>
      <w:t>Químico/Engenheiro de Segurança</w:t>
    </w:r>
    <w:r w:rsidRPr="00DC766A">
      <w:t xml:space="preserve"> – </w:t>
    </w:r>
    <w:r>
      <w:t>LABCFD/UFRJ</w:t>
    </w:r>
  </w:p>
  <w:p w:rsidR="007A2896" w:rsidRPr="00373302" w:rsidRDefault="007A2896" w:rsidP="00D764C8">
    <w:pPr>
      <w:pStyle w:val="Rodap"/>
    </w:pPr>
    <w:r>
      <w:t>2</w:t>
    </w:r>
    <w:r w:rsidRPr="00373302">
      <w:t xml:space="preserve"> MS</w:t>
    </w:r>
    <w:r>
      <w:t>c</w:t>
    </w:r>
    <w:r w:rsidRPr="00373302">
      <w:t xml:space="preserve">, Consultor - </w:t>
    </w:r>
    <w:r>
      <w:t>PETROBRAS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21E6" w:rsidRDefault="00D021E6" w:rsidP="00D764C8">
      <w:r>
        <w:separator/>
      </w:r>
    </w:p>
  </w:footnote>
  <w:footnote w:type="continuationSeparator" w:id="1">
    <w:p w:rsidR="00D021E6" w:rsidRDefault="00D021E6" w:rsidP="00D764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896" w:rsidRDefault="007A2896" w:rsidP="00D764C8">
    <w:pPr>
      <w:pStyle w:val="Cabealho"/>
    </w:pPr>
    <w:r>
      <w:rPr>
        <w:noProof/>
        <w:lang w:eastAsia="pt-BR"/>
      </w:rPr>
      <w:drawing>
        <wp:anchor distT="0" distB="0" distL="114300" distR="114300" simplePos="0" relativeHeight="251658240"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6" name="Imagem 26"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proofErr w:type="spellStart"/>
    <w:r>
      <w:t>paper</w:t>
    </w:r>
    <w:proofErr w:type="spellEnd"/>
    <w:r>
      <w:t>: 128</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896" w:rsidRDefault="007A2896" w:rsidP="00D764C8">
    <w:pPr>
      <w:pStyle w:val="Cabealho"/>
    </w:pPr>
    <w:r>
      <w:rPr>
        <w:noProof/>
        <w:lang w:eastAsia="pt-BR"/>
      </w:rPr>
      <w:drawing>
        <wp:anchor distT="0" distB="0" distL="114300" distR="114300" simplePos="0" relativeHeight="251662336"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 name="Imagem 2"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proofErr w:type="spellStart"/>
    <w:r>
      <w:t>paper</w:t>
    </w:r>
    <w:proofErr w:type="spellEnd"/>
    <w:r>
      <w:t>: 128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952E2"/>
    <w:multiLevelType w:val="hybridMultilevel"/>
    <w:tmpl w:val="20642348"/>
    <w:lvl w:ilvl="0" w:tplc="6C9655C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
    <w:nsid w:val="0D510686"/>
    <w:multiLevelType w:val="hybridMultilevel"/>
    <w:tmpl w:val="D84EB3FC"/>
    <w:lvl w:ilvl="0" w:tplc="46465A86">
      <w:start w:val="1"/>
      <w:numFmt w:val="decimal"/>
      <w:lvlText w:val="%1."/>
      <w:lvlJc w:val="left"/>
      <w:pPr>
        <w:ind w:left="1080" w:hanging="360"/>
      </w:pPr>
      <w:rPr>
        <w:rFonts w:hint="default"/>
      </w:rPr>
    </w:lvl>
    <w:lvl w:ilvl="1" w:tplc="72A6EBCC">
      <w:numFmt w:val="bullet"/>
      <w:lvlText w:val="•"/>
      <w:lvlJc w:val="left"/>
      <w:pPr>
        <w:ind w:left="1800" w:hanging="360"/>
      </w:pPr>
      <w:rPr>
        <w:rFonts w:ascii="Times New Roman" w:eastAsiaTheme="minorEastAsia" w:hAnsi="Times New Roman" w:cs="Times New Roman" w:hint="default"/>
      </w:r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nsid w:val="10247105"/>
    <w:multiLevelType w:val="hybridMultilevel"/>
    <w:tmpl w:val="58703B42"/>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
    <w:nsid w:val="10537757"/>
    <w:multiLevelType w:val="hybridMultilevel"/>
    <w:tmpl w:val="A7CE330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1EB12C4"/>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78A46DF"/>
    <w:multiLevelType w:val="hybridMultilevel"/>
    <w:tmpl w:val="5B100FB4"/>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4F46BA1"/>
    <w:multiLevelType w:val="hybridMultilevel"/>
    <w:tmpl w:val="DEB44CD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DEE45B8"/>
    <w:multiLevelType w:val="hybridMultilevel"/>
    <w:tmpl w:val="EDEE51CC"/>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8">
    <w:nsid w:val="30AE3A68"/>
    <w:multiLevelType w:val="multilevel"/>
    <w:tmpl w:val="28C0BFB0"/>
    <w:lvl w:ilvl="0">
      <w:start w:val="1"/>
      <w:numFmt w:val="decimal"/>
      <w:pStyle w:val="Ttulo1"/>
      <w:lvlText w:val="%1."/>
      <w:lvlJc w:val="left"/>
      <w:pPr>
        <w:ind w:left="720" w:hanging="360"/>
      </w:pPr>
      <w:rPr>
        <w:rFonts w:hint="default"/>
      </w:rPr>
    </w:lvl>
    <w:lvl w:ilvl="1">
      <w:start w:val="1"/>
      <w:numFmt w:val="decimal"/>
      <w:pStyle w:val="Ttulo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989701F"/>
    <w:multiLevelType w:val="hybridMultilevel"/>
    <w:tmpl w:val="3A8EE0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3EE110FB"/>
    <w:multiLevelType w:val="hybridMultilevel"/>
    <w:tmpl w:val="919EF370"/>
    <w:lvl w:ilvl="0" w:tplc="7C8224EA">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1">
    <w:nsid w:val="41C021F9"/>
    <w:multiLevelType w:val="hybridMultilevel"/>
    <w:tmpl w:val="3C2A8904"/>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2">
    <w:nsid w:val="5C306142"/>
    <w:multiLevelType w:val="hybridMultilevel"/>
    <w:tmpl w:val="F5FA064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5D6376D8"/>
    <w:multiLevelType w:val="hybridMultilevel"/>
    <w:tmpl w:val="34006A7A"/>
    <w:lvl w:ilvl="0" w:tplc="40ECF060">
      <w:start w:val="1"/>
      <w:numFmt w:val="bullet"/>
      <w:lvlText w:val=""/>
      <w:lvlJc w:val="left"/>
      <w:pPr>
        <w:tabs>
          <w:tab w:val="num" w:pos="720"/>
        </w:tabs>
        <w:ind w:left="720" w:hanging="360"/>
      </w:pPr>
      <w:rPr>
        <w:rFonts w:ascii="Symbol" w:hAnsi="Symbol" w:hint="default"/>
      </w:rPr>
    </w:lvl>
    <w:lvl w:ilvl="1" w:tplc="17E05E16" w:tentative="1">
      <w:start w:val="1"/>
      <w:numFmt w:val="bullet"/>
      <w:lvlText w:val=""/>
      <w:lvlJc w:val="left"/>
      <w:pPr>
        <w:tabs>
          <w:tab w:val="num" w:pos="1440"/>
        </w:tabs>
        <w:ind w:left="1440" w:hanging="360"/>
      </w:pPr>
      <w:rPr>
        <w:rFonts w:ascii="Symbol" w:hAnsi="Symbol" w:hint="default"/>
      </w:rPr>
    </w:lvl>
    <w:lvl w:ilvl="2" w:tplc="FA3A4C88" w:tentative="1">
      <w:start w:val="1"/>
      <w:numFmt w:val="bullet"/>
      <w:lvlText w:val=""/>
      <w:lvlJc w:val="left"/>
      <w:pPr>
        <w:tabs>
          <w:tab w:val="num" w:pos="2160"/>
        </w:tabs>
        <w:ind w:left="2160" w:hanging="360"/>
      </w:pPr>
      <w:rPr>
        <w:rFonts w:ascii="Symbol" w:hAnsi="Symbol" w:hint="default"/>
      </w:rPr>
    </w:lvl>
    <w:lvl w:ilvl="3" w:tplc="82D6E9C8" w:tentative="1">
      <w:start w:val="1"/>
      <w:numFmt w:val="bullet"/>
      <w:lvlText w:val=""/>
      <w:lvlJc w:val="left"/>
      <w:pPr>
        <w:tabs>
          <w:tab w:val="num" w:pos="2880"/>
        </w:tabs>
        <w:ind w:left="2880" w:hanging="360"/>
      </w:pPr>
      <w:rPr>
        <w:rFonts w:ascii="Symbol" w:hAnsi="Symbol" w:hint="default"/>
      </w:rPr>
    </w:lvl>
    <w:lvl w:ilvl="4" w:tplc="350C9C42" w:tentative="1">
      <w:start w:val="1"/>
      <w:numFmt w:val="bullet"/>
      <w:lvlText w:val=""/>
      <w:lvlJc w:val="left"/>
      <w:pPr>
        <w:tabs>
          <w:tab w:val="num" w:pos="3600"/>
        </w:tabs>
        <w:ind w:left="3600" w:hanging="360"/>
      </w:pPr>
      <w:rPr>
        <w:rFonts w:ascii="Symbol" w:hAnsi="Symbol" w:hint="default"/>
      </w:rPr>
    </w:lvl>
    <w:lvl w:ilvl="5" w:tplc="297E33A0" w:tentative="1">
      <w:start w:val="1"/>
      <w:numFmt w:val="bullet"/>
      <w:lvlText w:val=""/>
      <w:lvlJc w:val="left"/>
      <w:pPr>
        <w:tabs>
          <w:tab w:val="num" w:pos="4320"/>
        </w:tabs>
        <w:ind w:left="4320" w:hanging="360"/>
      </w:pPr>
      <w:rPr>
        <w:rFonts w:ascii="Symbol" w:hAnsi="Symbol" w:hint="default"/>
      </w:rPr>
    </w:lvl>
    <w:lvl w:ilvl="6" w:tplc="EE222C36" w:tentative="1">
      <w:start w:val="1"/>
      <w:numFmt w:val="bullet"/>
      <w:lvlText w:val=""/>
      <w:lvlJc w:val="left"/>
      <w:pPr>
        <w:tabs>
          <w:tab w:val="num" w:pos="5040"/>
        </w:tabs>
        <w:ind w:left="5040" w:hanging="360"/>
      </w:pPr>
      <w:rPr>
        <w:rFonts w:ascii="Symbol" w:hAnsi="Symbol" w:hint="default"/>
      </w:rPr>
    </w:lvl>
    <w:lvl w:ilvl="7" w:tplc="653C0F1E" w:tentative="1">
      <w:start w:val="1"/>
      <w:numFmt w:val="bullet"/>
      <w:lvlText w:val=""/>
      <w:lvlJc w:val="left"/>
      <w:pPr>
        <w:tabs>
          <w:tab w:val="num" w:pos="5760"/>
        </w:tabs>
        <w:ind w:left="5760" w:hanging="360"/>
      </w:pPr>
      <w:rPr>
        <w:rFonts w:ascii="Symbol" w:hAnsi="Symbol" w:hint="default"/>
      </w:rPr>
    </w:lvl>
    <w:lvl w:ilvl="8" w:tplc="5E485EE0" w:tentative="1">
      <w:start w:val="1"/>
      <w:numFmt w:val="bullet"/>
      <w:lvlText w:val=""/>
      <w:lvlJc w:val="left"/>
      <w:pPr>
        <w:tabs>
          <w:tab w:val="num" w:pos="6480"/>
        </w:tabs>
        <w:ind w:left="6480" w:hanging="360"/>
      </w:pPr>
      <w:rPr>
        <w:rFonts w:ascii="Symbol" w:hAnsi="Symbol" w:hint="default"/>
      </w:rPr>
    </w:lvl>
  </w:abstractNum>
  <w:abstractNum w:abstractNumId="14">
    <w:nsid w:val="67574BAF"/>
    <w:multiLevelType w:val="multilevel"/>
    <w:tmpl w:val="6052B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6EDD74DF"/>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71E476B4"/>
    <w:multiLevelType w:val="hybridMultilevel"/>
    <w:tmpl w:val="5FB63D9C"/>
    <w:lvl w:ilvl="0" w:tplc="FA788978">
      <w:start w:val="1"/>
      <w:numFmt w:val="bullet"/>
      <w:pStyle w:val="itemnivel1"/>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74F93E4F"/>
    <w:multiLevelType w:val="hybridMultilevel"/>
    <w:tmpl w:val="4A447042"/>
    <w:lvl w:ilvl="0" w:tplc="ED986F80">
      <w:start w:val="1"/>
      <w:numFmt w:val="lowerLetter"/>
      <w:pStyle w:val="Itens"/>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8">
    <w:nsid w:val="7C5408CF"/>
    <w:multiLevelType w:val="hybridMultilevel"/>
    <w:tmpl w:val="21727752"/>
    <w:lvl w:ilvl="0" w:tplc="6FC6817C">
      <w:start w:val="1"/>
      <w:numFmt w:val="bullet"/>
      <w:lvlText w:val=""/>
      <w:lvlJc w:val="left"/>
      <w:pPr>
        <w:ind w:left="1428"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4"/>
  </w:num>
  <w:num w:numId="4">
    <w:abstractNumId w:val="11"/>
  </w:num>
  <w:num w:numId="5">
    <w:abstractNumId w:val="15"/>
  </w:num>
  <w:num w:numId="6">
    <w:abstractNumId w:val="4"/>
  </w:num>
  <w:num w:numId="7">
    <w:abstractNumId w:val="1"/>
  </w:num>
  <w:num w:numId="8">
    <w:abstractNumId w:val="10"/>
  </w:num>
  <w:num w:numId="9">
    <w:abstractNumId w:val="0"/>
  </w:num>
  <w:num w:numId="10">
    <w:abstractNumId w:val="9"/>
  </w:num>
  <w:num w:numId="11">
    <w:abstractNumId w:val="2"/>
  </w:num>
  <w:num w:numId="12">
    <w:abstractNumId w:val="12"/>
  </w:num>
  <w:num w:numId="13">
    <w:abstractNumId w:val="5"/>
  </w:num>
  <w:num w:numId="14">
    <w:abstractNumId w:val="8"/>
  </w:num>
  <w:num w:numId="15">
    <w:abstractNumId w:val="13"/>
  </w:num>
  <w:num w:numId="16">
    <w:abstractNumId w:val="16"/>
  </w:num>
  <w:num w:numId="17">
    <w:abstractNumId w:val="17"/>
  </w:num>
  <w:num w:numId="18">
    <w:abstractNumId w:val="18"/>
  </w:num>
  <w:num w:numId="19">
    <w:abstractNumId w:val="7"/>
  </w:num>
  <w:num w:numId="20">
    <w:abstractNumId w:val="17"/>
    <w:lvlOverride w:ilvl="0">
      <w:startOverride w:val="1"/>
    </w:lvlOverride>
  </w:num>
  <w:num w:numId="21">
    <w:abstractNumId w:val="17"/>
  </w:num>
  <w:num w:numId="22">
    <w:abstractNumId w:val="17"/>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useFELayout/>
  </w:compat>
  <w:rsids>
    <w:rsidRoot w:val="006311E0"/>
    <w:rsid w:val="00024909"/>
    <w:rsid w:val="00031C32"/>
    <w:rsid w:val="000327DC"/>
    <w:rsid w:val="00070488"/>
    <w:rsid w:val="00073457"/>
    <w:rsid w:val="00080665"/>
    <w:rsid w:val="00082556"/>
    <w:rsid w:val="000857D2"/>
    <w:rsid w:val="000A7251"/>
    <w:rsid w:val="000B47FF"/>
    <w:rsid w:val="000D10E0"/>
    <w:rsid w:val="000E0553"/>
    <w:rsid w:val="000E5CBB"/>
    <w:rsid w:val="000F28BE"/>
    <w:rsid w:val="001017FD"/>
    <w:rsid w:val="00116D93"/>
    <w:rsid w:val="001403DA"/>
    <w:rsid w:val="00170E2A"/>
    <w:rsid w:val="00173B06"/>
    <w:rsid w:val="001835A1"/>
    <w:rsid w:val="001948E1"/>
    <w:rsid w:val="001A3694"/>
    <w:rsid w:val="001B74BD"/>
    <w:rsid w:val="001C6ED7"/>
    <w:rsid w:val="001D08CA"/>
    <w:rsid w:val="001D0DE2"/>
    <w:rsid w:val="001D2411"/>
    <w:rsid w:val="001E414E"/>
    <w:rsid w:val="001F51AD"/>
    <w:rsid w:val="002028DE"/>
    <w:rsid w:val="00204F0B"/>
    <w:rsid w:val="00204F13"/>
    <w:rsid w:val="00223775"/>
    <w:rsid w:val="00232260"/>
    <w:rsid w:val="0023733C"/>
    <w:rsid w:val="00241257"/>
    <w:rsid w:val="0026458C"/>
    <w:rsid w:val="00271A86"/>
    <w:rsid w:val="00290742"/>
    <w:rsid w:val="00294D1F"/>
    <w:rsid w:val="002A1AE3"/>
    <w:rsid w:val="002A4355"/>
    <w:rsid w:val="002C2B3F"/>
    <w:rsid w:val="002C3A9E"/>
    <w:rsid w:val="002C68C0"/>
    <w:rsid w:val="002E0FE6"/>
    <w:rsid w:val="00300704"/>
    <w:rsid w:val="00307776"/>
    <w:rsid w:val="0033349B"/>
    <w:rsid w:val="003355AC"/>
    <w:rsid w:val="00336903"/>
    <w:rsid w:val="00343A07"/>
    <w:rsid w:val="00373302"/>
    <w:rsid w:val="003753A5"/>
    <w:rsid w:val="0039740A"/>
    <w:rsid w:val="00397432"/>
    <w:rsid w:val="003C1003"/>
    <w:rsid w:val="003E1F15"/>
    <w:rsid w:val="003F6D4D"/>
    <w:rsid w:val="004162A1"/>
    <w:rsid w:val="00426A11"/>
    <w:rsid w:val="00460B1C"/>
    <w:rsid w:val="00460E5C"/>
    <w:rsid w:val="00472303"/>
    <w:rsid w:val="00474E67"/>
    <w:rsid w:val="00483DC2"/>
    <w:rsid w:val="004A37E1"/>
    <w:rsid w:val="004A7C59"/>
    <w:rsid w:val="004A7DF0"/>
    <w:rsid w:val="004B6CE3"/>
    <w:rsid w:val="004D1DBC"/>
    <w:rsid w:val="004E069C"/>
    <w:rsid w:val="0050130B"/>
    <w:rsid w:val="00501C39"/>
    <w:rsid w:val="0052123F"/>
    <w:rsid w:val="00523B01"/>
    <w:rsid w:val="0053629A"/>
    <w:rsid w:val="00537364"/>
    <w:rsid w:val="00537480"/>
    <w:rsid w:val="00541FAF"/>
    <w:rsid w:val="005531F5"/>
    <w:rsid w:val="00566808"/>
    <w:rsid w:val="00567871"/>
    <w:rsid w:val="00574D0D"/>
    <w:rsid w:val="00576B8E"/>
    <w:rsid w:val="00583E1C"/>
    <w:rsid w:val="00590F07"/>
    <w:rsid w:val="005B351F"/>
    <w:rsid w:val="005B432C"/>
    <w:rsid w:val="005D1BC8"/>
    <w:rsid w:val="005D7206"/>
    <w:rsid w:val="005E43C5"/>
    <w:rsid w:val="005F1C0D"/>
    <w:rsid w:val="005F2E29"/>
    <w:rsid w:val="005F41DF"/>
    <w:rsid w:val="00615CFF"/>
    <w:rsid w:val="006311E0"/>
    <w:rsid w:val="00632190"/>
    <w:rsid w:val="006441C3"/>
    <w:rsid w:val="00665485"/>
    <w:rsid w:val="006718A7"/>
    <w:rsid w:val="00676185"/>
    <w:rsid w:val="00687B87"/>
    <w:rsid w:val="006C1122"/>
    <w:rsid w:val="006C2639"/>
    <w:rsid w:val="006C2A2D"/>
    <w:rsid w:val="006D245C"/>
    <w:rsid w:val="006D6FF4"/>
    <w:rsid w:val="006E263E"/>
    <w:rsid w:val="006F118F"/>
    <w:rsid w:val="006F24E8"/>
    <w:rsid w:val="00710644"/>
    <w:rsid w:val="00711E18"/>
    <w:rsid w:val="00726B2F"/>
    <w:rsid w:val="00745CED"/>
    <w:rsid w:val="007722B5"/>
    <w:rsid w:val="00772DAD"/>
    <w:rsid w:val="00776E83"/>
    <w:rsid w:val="007A2896"/>
    <w:rsid w:val="007C2804"/>
    <w:rsid w:val="007C410A"/>
    <w:rsid w:val="007D10E7"/>
    <w:rsid w:val="007D6EBF"/>
    <w:rsid w:val="007E6BEA"/>
    <w:rsid w:val="00810032"/>
    <w:rsid w:val="00815B25"/>
    <w:rsid w:val="0082269D"/>
    <w:rsid w:val="00827376"/>
    <w:rsid w:val="00835D6A"/>
    <w:rsid w:val="0084785B"/>
    <w:rsid w:val="00856A7D"/>
    <w:rsid w:val="00864939"/>
    <w:rsid w:val="00874417"/>
    <w:rsid w:val="00880902"/>
    <w:rsid w:val="0089429E"/>
    <w:rsid w:val="008A2C61"/>
    <w:rsid w:val="008B494F"/>
    <w:rsid w:val="008C23A3"/>
    <w:rsid w:val="008D3E05"/>
    <w:rsid w:val="008D42D4"/>
    <w:rsid w:val="008D4A55"/>
    <w:rsid w:val="008F5718"/>
    <w:rsid w:val="009109FD"/>
    <w:rsid w:val="00956142"/>
    <w:rsid w:val="00977F44"/>
    <w:rsid w:val="009B2742"/>
    <w:rsid w:val="009C0612"/>
    <w:rsid w:val="009F08C7"/>
    <w:rsid w:val="009F0BF2"/>
    <w:rsid w:val="00A10018"/>
    <w:rsid w:val="00A564F6"/>
    <w:rsid w:val="00A675D8"/>
    <w:rsid w:val="00A743C4"/>
    <w:rsid w:val="00AA3E1E"/>
    <w:rsid w:val="00AC4989"/>
    <w:rsid w:val="00AD3A74"/>
    <w:rsid w:val="00AE5369"/>
    <w:rsid w:val="00AF130F"/>
    <w:rsid w:val="00B023EE"/>
    <w:rsid w:val="00B048BC"/>
    <w:rsid w:val="00B11DBF"/>
    <w:rsid w:val="00B14736"/>
    <w:rsid w:val="00B15494"/>
    <w:rsid w:val="00B15527"/>
    <w:rsid w:val="00B22052"/>
    <w:rsid w:val="00B234EC"/>
    <w:rsid w:val="00B235C8"/>
    <w:rsid w:val="00B23B18"/>
    <w:rsid w:val="00B377AF"/>
    <w:rsid w:val="00B46757"/>
    <w:rsid w:val="00B61D41"/>
    <w:rsid w:val="00B67FEF"/>
    <w:rsid w:val="00B71F24"/>
    <w:rsid w:val="00B728AC"/>
    <w:rsid w:val="00B917D4"/>
    <w:rsid w:val="00B93293"/>
    <w:rsid w:val="00BA48B1"/>
    <w:rsid w:val="00BA4E7E"/>
    <w:rsid w:val="00BB188E"/>
    <w:rsid w:val="00BB52FE"/>
    <w:rsid w:val="00BB7A66"/>
    <w:rsid w:val="00BF3396"/>
    <w:rsid w:val="00C0219E"/>
    <w:rsid w:val="00C028CF"/>
    <w:rsid w:val="00C06685"/>
    <w:rsid w:val="00C102C7"/>
    <w:rsid w:val="00C20157"/>
    <w:rsid w:val="00C205D9"/>
    <w:rsid w:val="00C37054"/>
    <w:rsid w:val="00C538EB"/>
    <w:rsid w:val="00C61F09"/>
    <w:rsid w:val="00C658D2"/>
    <w:rsid w:val="00C75008"/>
    <w:rsid w:val="00C75810"/>
    <w:rsid w:val="00C80D55"/>
    <w:rsid w:val="00C8479C"/>
    <w:rsid w:val="00CA44D9"/>
    <w:rsid w:val="00CB01EF"/>
    <w:rsid w:val="00CD69FD"/>
    <w:rsid w:val="00CE09E1"/>
    <w:rsid w:val="00D00D94"/>
    <w:rsid w:val="00D021E6"/>
    <w:rsid w:val="00D05286"/>
    <w:rsid w:val="00D162E0"/>
    <w:rsid w:val="00D32A61"/>
    <w:rsid w:val="00D35C89"/>
    <w:rsid w:val="00D42FC0"/>
    <w:rsid w:val="00D65CBD"/>
    <w:rsid w:val="00D7330E"/>
    <w:rsid w:val="00D764C8"/>
    <w:rsid w:val="00D77725"/>
    <w:rsid w:val="00D80F50"/>
    <w:rsid w:val="00D839C8"/>
    <w:rsid w:val="00D87CE3"/>
    <w:rsid w:val="00D90610"/>
    <w:rsid w:val="00DA793F"/>
    <w:rsid w:val="00DB464B"/>
    <w:rsid w:val="00DC766A"/>
    <w:rsid w:val="00DD79BF"/>
    <w:rsid w:val="00DF42FB"/>
    <w:rsid w:val="00DF4503"/>
    <w:rsid w:val="00DF54CF"/>
    <w:rsid w:val="00DF5C0E"/>
    <w:rsid w:val="00E01E00"/>
    <w:rsid w:val="00E343B9"/>
    <w:rsid w:val="00E45511"/>
    <w:rsid w:val="00E45BEB"/>
    <w:rsid w:val="00E52FAB"/>
    <w:rsid w:val="00E604F1"/>
    <w:rsid w:val="00E66348"/>
    <w:rsid w:val="00E66CA7"/>
    <w:rsid w:val="00E74190"/>
    <w:rsid w:val="00EA4CB8"/>
    <w:rsid w:val="00EB1B8E"/>
    <w:rsid w:val="00EB4F73"/>
    <w:rsid w:val="00EC4F80"/>
    <w:rsid w:val="00ED01E5"/>
    <w:rsid w:val="00ED724E"/>
    <w:rsid w:val="00F317FA"/>
    <w:rsid w:val="00F32BA2"/>
    <w:rsid w:val="00F46BB1"/>
    <w:rsid w:val="00F470F9"/>
    <w:rsid w:val="00F5637A"/>
    <w:rsid w:val="00F6032C"/>
    <w:rsid w:val="00FA4939"/>
    <w:rsid w:val="00FA53ED"/>
    <w:rsid w:val="00FD00BD"/>
    <w:rsid w:val="00FD3956"/>
    <w:rsid w:val="00FD53FD"/>
    <w:rsid w:val="00FE7567"/>
    <w:rsid w:val="00FF37FA"/>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4C8"/>
    <w:pPr>
      <w:ind w:firstLine="567"/>
      <w:jc w:val="both"/>
    </w:pPr>
    <w:rPr>
      <w:rFonts w:ascii="Times New Roman" w:hAnsi="Times New Roman" w:cs="Times New Roman"/>
      <w:lang w:val="pt-BR"/>
    </w:rPr>
  </w:style>
  <w:style w:type="paragraph" w:styleId="Ttulo1">
    <w:name w:val="heading 1"/>
    <w:basedOn w:val="PargrafodaLista"/>
    <w:next w:val="Normal"/>
    <w:link w:val="Ttulo1Char"/>
    <w:uiPriority w:val="9"/>
    <w:qFormat/>
    <w:rsid w:val="00B15527"/>
    <w:pPr>
      <w:numPr>
        <w:numId w:val="14"/>
      </w:numPr>
      <w:autoSpaceDE w:val="0"/>
      <w:autoSpaceDN w:val="0"/>
      <w:adjustRightInd w:val="0"/>
      <w:spacing w:after="0" w:line="240" w:lineRule="auto"/>
      <w:ind w:left="284" w:hanging="284"/>
      <w:outlineLvl w:val="0"/>
    </w:pPr>
    <w:rPr>
      <w:b/>
      <w:color w:val="1C1C1C"/>
      <w:sz w:val="24"/>
      <w:szCs w:val="24"/>
    </w:rPr>
  </w:style>
  <w:style w:type="paragraph" w:styleId="Ttulo2">
    <w:name w:val="heading 2"/>
    <w:basedOn w:val="PargrafodaLista"/>
    <w:next w:val="Normal"/>
    <w:link w:val="Ttulo2Char"/>
    <w:uiPriority w:val="9"/>
    <w:unhideWhenUsed/>
    <w:qFormat/>
    <w:rsid w:val="00070488"/>
    <w:pPr>
      <w:numPr>
        <w:ilvl w:val="1"/>
        <w:numId w:val="14"/>
      </w:numPr>
      <w:autoSpaceDE w:val="0"/>
      <w:autoSpaceDN w:val="0"/>
      <w:adjustRightInd w:val="0"/>
      <w:spacing w:after="0" w:line="240" w:lineRule="auto"/>
      <w:ind w:left="350"/>
      <w:outlineLvl w:val="1"/>
    </w:pPr>
    <w:rPr>
      <w:b/>
      <w:color w:val="1C1C1C"/>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1D0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2A1AE3"/>
    <w:pPr>
      <w:ind w:left="720"/>
      <w:contextualSpacing/>
    </w:pPr>
  </w:style>
  <w:style w:type="paragraph" w:styleId="Cabealho">
    <w:name w:val="header"/>
    <w:basedOn w:val="Normal"/>
    <w:link w:val="CabealhoChar"/>
    <w:uiPriority w:val="99"/>
    <w:unhideWhenUsed/>
    <w:rsid w:val="00BB52FE"/>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BB52FE"/>
    <w:rPr>
      <w:lang w:val="en-GB"/>
    </w:rPr>
  </w:style>
  <w:style w:type="paragraph" w:styleId="Rodap">
    <w:name w:val="footer"/>
    <w:basedOn w:val="Normal"/>
    <w:link w:val="RodapChar"/>
    <w:uiPriority w:val="99"/>
    <w:unhideWhenUsed/>
    <w:rsid w:val="00BB52FE"/>
    <w:pPr>
      <w:tabs>
        <w:tab w:val="center" w:pos="4513"/>
        <w:tab w:val="right" w:pos="9026"/>
      </w:tabs>
      <w:spacing w:after="0" w:line="240" w:lineRule="auto"/>
    </w:pPr>
  </w:style>
  <w:style w:type="character" w:customStyle="1" w:styleId="RodapChar">
    <w:name w:val="Rodapé Char"/>
    <w:basedOn w:val="Fontepargpadro"/>
    <w:link w:val="Rodap"/>
    <w:uiPriority w:val="99"/>
    <w:rsid w:val="00BB52FE"/>
    <w:rPr>
      <w:lang w:val="en-GB"/>
    </w:rPr>
  </w:style>
  <w:style w:type="paragraph" w:customStyle="1" w:styleId="Default">
    <w:name w:val="Default"/>
    <w:rsid w:val="00204F0B"/>
    <w:pPr>
      <w:autoSpaceDE w:val="0"/>
      <w:autoSpaceDN w:val="0"/>
      <w:adjustRightInd w:val="0"/>
      <w:spacing w:after="0" w:line="240" w:lineRule="auto"/>
    </w:pPr>
    <w:rPr>
      <w:rFonts w:ascii="Arial" w:hAnsi="Arial" w:cs="Arial"/>
      <w:color w:val="000000"/>
      <w:sz w:val="24"/>
      <w:szCs w:val="24"/>
      <w:lang w:val="pt-BR"/>
    </w:rPr>
  </w:style>
  <w:style w:type="paragraph" w:styleId="Textodebalo">
    <w:name w:val="Balloon Text"/>
    <w:basedOn w:val="Normal"/>
    <w:link w:val="TextodebaloChar"/>
    <w:uiPriority w:val="99"/>
    <w:semiHidden/>
    <w:unhideWhenUsed/>
    <w:rsid w:val="00574D0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74D0D"/>
    <w:rPr>
      <w:rFonts w:ascii="Segoe UI" w:hAnsi="Segoe UI" w:cs="Segoe UI"/>
      <w:sz w:val="18"/>
      <w:szCs w:val="18"/>
    </w:rPr>
  </w:style>
  <w:style w:type="character" w:styleId="TextodoEspaoReservado">
    <w:name w:val="Placeholder Text"/>
    <w:basedOn w:val="Fontepargpadro"/>
    <w:uiPriority w:val="99"/>
    <w:semiHidden/>
    <w:rsid w:val="009F08C7"/>
    <w:rPr>
      <w:color w:val="808080"/>
    </w:rPr>
  </w:style>
  <w:style w:type="paragraph" w:styleId="Ttulo">
    <w:name w:val="Title"/>
    <w:basedOn w:val="Normal"/>
    <w:next w:val="Normal"/>
    <w:link w:val="TtuloChar"/>
    <w:uiPriority w:val="10"/>
    <w:qFormat/>
    <w:rsid w:val="00D764C8"/>
    <w:pPr>
      <w:autoSpaceDE w:val="0"/>
      <w:autoSpaceDN w:val="0"/>
      <w:adjustRightInd w:val="0"/>
      <w:spacing w:after="0" w:line="240" w:lineRule="auto"/>
      <w:ind w:firstLine="0"/>
    </w:pPr>
    <w:rPr>
      <w:b/>
      <w:color w:val="1C1C1C"/>
      <w:sz w:val="24"/>
      <w:szCs w:val="24"/>
    </w:rPr>
  </w:style>
  <w:style w:type="character" w:customStyle="1" w:styleId="TtuloChar">
    <w:name w:val="Título Char"/>
    <w:basedOn w:val="Fontepargpadro"/>
    <w:link w:val="Ttulo"/>
    <w:uiPriority w:val="10"/>
    <w:rsid w:val="00D764C8"/>
    <w:rPr>
      <w:rFonts w:ascii="Times New Roman" w:hAnsi="Times New Roman" w:cs="Times New Roman"/>
      <w:b/>
      <w:color w:val="1C1C1C"/>
      <w:sz w:val="24"/>
      <w:szCs w:val="24"/>
      <w:lang w:val="pt-BR"/>
    </w:rPr>
  </w:style>
  <w:style w:type="character" w:customStyle="1" w:styleId="Ttulo1Char">
    <w:name w:val="Título 1 Char"/>
    <w:basedOn w:val="Fontepargpadro"/>
    <w:link w:val="Ttulo1"/>
    <w:uiPriority w:val="9"/>
    <w:rsid w:val="00B15527"/>
    <w:rPr>
      <w:rFonts w:ascii="Times New Roman" w:hAnsi="Times New Roman" w:cs="Times New Roman"/>
      <w:b/>
      <w:color w:val="1C1C1C"/>
      <w:sz w:val="24"/>
      <w:szCs w:val="24"/>
    </w:rPr>
  </w:style>
  <w:style w:type="character" w:customStyle="1" w:styleId="Ttulo2Char">
    <w:name w:val="Título 2 Char"/>
    <w:basedOn w:val="Fontepargpadro"/>
    <w:link w:val="Ttulo2"/>
    <w:uiPriority w:val="9"/>
    <w:rsid w:val="00070488"/>
    <w:rPr>
      <w:rFonts w:ascii="Times New Roman" w:hAnsi="Times New Roman" w:cs="Times New Roman"/>
      <w:b/>
      <w:color w:val="1C1C1C"/>
      <w:sz w:val="24"/>
      <w:szCs w:val="24"/>
      <w:lang w:val="pt-BR"/>
    </w:rPr>
  </w:style>
  <w:style w:type="paragraph" w:customStyle="1" w:styleId="Figura">
    <w:name w:val="Figura"/>
    <w:basedOn w:val="Normal"/>
    <w:link w:val="FiguraChar"/>
    <w:qFormat/>
    <w:rsid w:val="000D10E0"/>
    <w:pPr>
      <w:spacing w:after="0" w:line="240" w:lineRule="auto"/>
      <w:ind w:firstLine="0"/>
      <w:jc w:val="center"/>
    </w:pPr>
    <w:rPr>
      <w:noProof/>
      <w:sz w:val="20"/>
      <w:lang w:eastAsia="pt-BR"/>
    </w:rPr>
  </w:style>
  <w:style w:type="paragraph" w:styleId="Legenda">
    <w:name w:val="caption"/>
    <w:aliases w:val="Legenda Figura"/>
    <w:basedOn w:val="Normal"/>
    <w:next w:val="Normal"/>
    <w:link w:val="LegendaChar"/>
    <w:uiPriority w:val="35"/>
    <w:unhideWhenUsed/>
    <w:qFormat/>
    <w:rsid w:val="00B15527"/>
    <w:pPr>
      <w:spacing w:after="200" w:line="240" w:lineRule="auto"/>
      <w:jc w:val="center"/>
    </w:pPr>
    <w:rPr>
      <w:b/>
      <w:bCs/>
      <w:color w:val="000000" w:themeColor="text1"/>
    </w:rPr>
  </w:style>
  <w:style w:type="character" w:customStyle="1" w:styleId="FiguraChar">
    <w:name w:val="Figura Char"/>
    <w:basedOn w:val="Fontepargpadro"/>
    <w:link w:val="Figura"/>
    <w:rsid w:val="000D10E0"/>
    <w:rPr>
      <w:rFonts w:ascii="Times New Roman" w:hAnsi="Times New Roman" w:cs="Times New Roman"/>
      <w:noProof/>
      <w:sz w:val="20"/>
      <w:lang w:val="pt-BR" w:eastAsia="pt-BR"/>
    </w:rPr>
  </w:style>
  <w:style w:type="paragraph" w:customStyle="1" w:styleId="LegentaTabela">
    <w:name w:val="Legenta Tabela"/>
    <w:basedOn w:val="Legenda"/>
    <w:link w:val="LegentaTabelaChar"/>
    <w:qFormat/>
    <w:rsid w:val="0052123F"/>
    <w:pPr>
      <w:keepNext/>
      <w:spacing w:after="0"/>
    </w:pPr>
    <w:rPr>
      <w:iCs/>
    </w:rPr>
  </w:style>
  <w:style w:type="paragraph" w:styleId="NormalWeb">
    <w:name w:val="Normal (Web)"/>
    <w:basedOn w:val="Normal"/>
    <w:uiPriority w:val="99"/>
    <w:unhideWhenUsed/>
    <w:rsid w:val="00CB01EF"/>
    <w:pPr>
      <w:spacing w:after="0" w:line="240" w:lineRule="auto"/>
    </w:pPr>
    <w:rPr>
      <w:rFonts w:ascii="Calibri" w:hAnsi="Calibri" w:cs="Calibri"/>
      <w:lang w:eastAsia="pt-BR"/>
    </w:rPr>
  </w:style>
  <w:style w:type="character" w:customStyle="1" w:styleId="LegendaChar">
    <w:name w:val="Legenda Char"/>
    <w:aliases w:val="Legenda Figura Char"/>
    <w:basedOn w:val="Fontepargpadro"/>
    <w:link w:val="Legenda"/>
    <w:uiPriority w:val="35"/>
    <w:rsid w:val="00B15527"/>
    <w:rPr>
      <w:rFonts w:ascii="Times New Roman" w:hAnsi="Times New Roman" w:cs="Times New Roman"/>
      <w:b/>
      <w:bCs/>
      <w:color w:val="000000" w:themeColor="text1"/>
    </w:rPr>
  </w:style>
  <w:style w:type="character" w:customStyle="1" w:styleId="LegentaTabelaChar">
    <w:name w:val="Legenta Tabela Char"/>
    <w:basedOn w:val="LegendaChar"/>
    <w:link w:val="LegentaTabela"/>
    <w:rsid w:val="0052123F"/>
    <w:rPr>
      <w:rFonts w:ascii="Times New Roman" w:hAnsi="Times New Roman" w:cs="Times New Roman"/>
      <w:b/>
      <w:bCs/>
      <w:iCs/>
      <w:color w:val="000000" w:themeColor="text1"/>
      <w:lang w:val="pt-BR"/>
    </w:rPr>
  </w:style>
  <w:style w:type="paragraph" w:styleId="Bibliografia">
    <w:name w:val="Bibliography"/>
    <w:basedOn w:val="Normal"/>
    <w:next w:val="Normal"/>
    <w:uiPriority w:val="37"/>
    <w:unhideWhenUsed/>
    <w:rsid w:val="00E66CA7"/>
  </w:style>
  <w:style w:type="paragraph" w:customStyle="1" w:styleId="Itens">
    <w:name w:val="Itens"/>
    <w:basedOn w:val="Normal"/>
    <w:link w:val="ItensChar"/>
    <w:qFormat/>
    <w:rsid w:val="00C538EB"/>
    <w:pPr>
      <w:numPr>
        <w:numId w:val="17"/>
      </w:numPr>
      <w:spacing w:after="0" w:line="240" w:lineRule="auto"/>
      <w:ind w:left="993" w:hanging="426"/>
    </w:pPr>
  </w:style>
  <w:style w:type="character" w:customStyle="1" w:styleId="ItensChar">
    <w:name w:val="Itens Char"/>
    <w:basedOn w:val="Fontepargpadro"/>
    <w:link w:val="Itens"/>
    <w:rsid w:val="00C538EB"/>
    <w:rPr>
      <w:rFonts w:ascii="Times New Roman" w:hAnsi="Times New Roman" w:cs="Times New Roman"/>
      <w:lang w:val="pt-BR"/>
    </w:rPr>
  </w:style>
  <w:style w:type="paragraph" w:customStyle="1" w:styleId="itemnivel1">
    <w:name w:val="item nivel 1"/>
    <w:basedOn w:val="Normal"/>
    <w:link w:val="itemnivel1Char"/>
    <w:qFormat/>
    <w:rsid w:val="00E45511"/>
    <w:pPr>
      <w:numPr>
        <w:numId w:val="16"/>
      </w:numPr>
      <w:autoSpaceDE w:val="0"/>
      <w:autoSpaceDN w:val="0"/>
      <w:adjustRightInd w:val="0"/>
      <w:spacing w:before="120" w:after="120" w:line="360" w:lineRule="auto"/>
    </w:pPr>
    <w:rPr>
      <w:rFonts w:eastAsia="Calibri"/>
      <w:bCs/>
      <w:iCs/>
      <w:sz w:val="24"/>
      <w:szCs w:val="24"/>
    </w:rPr>
  </w:style>
  <w:style w:type="character" w:customStyle="1" w:styleId="itemnivel1Char">
    <w:name w:val="item nivel 1 Char"/>
    <w:basedOn w:val="Fontepargpadro"/>
    <w:link w:val="itemnivel1"/>
    <w:rsid w:val="00E45511"/>
    <w:rPr>
      <w:rFonts w:ascii="Times New Roman" w:eastAsia="Calibri" w:hAnsi="Times New Roman" w:cs="Times New Roman"/>
      <w:bCs/>
      <w:iCs/>
      <w:sz w:val="24"/>
      <w:szCs w:val="24"/>
      <w:lang w:val="pt-BR"/>
    </w:rPr>
  </w:style>
  <w:style w:type="paragraph" w:customStyle="1" w:styleId="corpodotexto">
    <w:name w:val="corpo do texto"/>
    <w:basedOn w:val="Normal"/>
    <w:link w:val="corpodotextoChar"/>
    <w:autoRedefine/>
    <w:qFormat/>
    <w:rsid w:val="006718A7"/>
    <w:pPr>
      <w:autoSpaceDE w:val="0"/>
      <w:autoSpaceDN w:val="0"/>
      <w:adjustRightInd w:val="0"/>
      <w:spacing w:before="120" w:after="120" w:line="360" w:lineRule="auto"/>
      <w:ind w:left="792" w:firstLine="0"/>
      <w:jc w:val="center"/>
    </w:pPr>
    <w:rPr>
      <w:rFonts w:ascii="Cambria Math" w:eastAsia="Calibri" w:hAnsi="Cambria Math"/>
      <w:bCs/>
      <w:i/>
      <w:sz w:val="24"/>
      <w:szCs w:val="24"/>
    </w:rPr>
  </w:style>
  <w:style w:type="character" w:customStyle="1" w:styleId="corpodotextoChar">
    <w:name w:val="corpo do texto Char"/>
    <w:basedOn w:val="Fontepargpadro"/>
    <w:link w:val="corpodotexto"/>
    <w:rsid w:val="006718A7"/>
    <w:rPr>
      <w:rFonts w:ascii="Cambria Math" w:eastAsia="Calibri" w:hAnsi="Cambria Math" w:cs="Times New Roman"/>
      <w:bCs/>
      <w:i/>
      <w:sz w:val="24"/>
      <w:szCs w:val="24"/>
      <w:lang w:val="pt-BR"/>
    </w:rPr>
  </w:style>
  <w:style w:type="paragraph" w:customStyle="1" w:styleId="Texto">
    <w:name w:val="Texto"/>
    <w:link w:val="TextoChar"/>
    <w:rsid w:val="00FA53ED"/>
    <w:pPr>
      <w:spacing w:after="0" w:line="240" w:lineRule="auto"/>
      <w:ind w:left="851" w:right="142"/>
      <w:jc w:val="both"/>
    </w:pPr>
    <w:rPr>
      <w:rFonts w:ascii="Arial" w:eastAsia="Times New Roman" w:hAnsi="Arial" w:cs="Times New Roman"/>
      <w:bCs/>
      <w:szCs w:val="20"/>
      <w:lang w:val="pt-BR" w:eastAsia="pt-BR"/>
    </w:rPr>
  </w:style>
  <w:style w:type="character" w:customStyle="1" w:styleId="TextoChar">
    <w:name w:val="Texto Char"/>
    <w:link w:val="Texto"/>
    <w:locked/>
    <w:rsid w:val="00FA53ED"/>
    <w:rPr>
      <w:rFonts w:ascii="Arial" w:eastAsia="Times New Roman" w:hAnsi="Arial" w:cs="Times New Roman"/>
      <w:bCs/>
      <w:szCs w:val="20"/>
      <w:lang w:val="pt-BR" w:eastAsia="pt-BR"/>
    </w:rPr>
  </w:style>
</w:styles>
</file>

<file path=word/webSettings.xml><?xml version="1.0" encoding="utf-8"?>
<w:webSettings xmlns:r="http://schemas.openxmlformats.org/officeDocument/2006/relationships" xmlns:w="http://schemas.openxmlformats.org/wordprocessingml/2006/main">
  <w:divs>
    <w:div w:id="21591605">
      <w:bodyDiv w:val="1"/>
      <w:marLeft w:val="0"/>
      <w:marRight w:val="0"/>
      <w:marTop w:val="0"/>
      <w:marBottom w:val="0"/>
      <w:divBdr>
        <w:top w:val="none" w:sz="0" w:space="0" w:color="auto"/>
        <w:left w:val="none" w:sz="0" w:space="0" w:color="auto"/>
        <w:bottom w:val="none" w:sz="0" w:space="0" w:color="auto"/>
        <w:right w:val="none" w:sz="0" w:space="0" w:color="auto"/>
      </w:divBdr>
    </w:div>
    <w:div w:id="43723206">
      <w:bodyDiv w:val="1"/>
      <w:marLeft w:val="0"/>
      <w:marRight w:val="0"/>
      <w:marTop w:val="0"/>
      <w:marBottom w:val="0"/>
      <w:divBdr>
        <w:top w:val="none" w:sz="0" w:space="0" w:color="auto"/>
        <w:left w:val="none" w:sz="0" w:space="0" w:color="auto"/>
        <w:bottom w:val="none" w:sz="0" w:space="0" w:color="auto"/>
        <w:right w:val="none" w:sz="0" w:space="0" w:color="auto"/>
      </w:divBdr>
    </w:div>
    <w:div w:id="95296413">
      <w:bodyDiv w:val="1"/>
      <w:marLeft w:val="0"/>
      <w:marRight w:val="0"/>
      <w:marTop w:val="0"/>
      <w:marBottom w:val="0"/>
      <w:divBdr>
        <w:top w:val="none" w:sz="0" w:space="0" w:color="auto"/>
        <w:left w:val="none" w:sz="0" w:space="0" w:color="auto"/>
        <w:bottom w:val="none" w:sz="0" w:space="0" w:color="auto"/>
        <w:right w:val="none" w:sz="0" w:space="0" w:color="auto"/>
      </w:divBdr>
    </w:div>
    <w:div w:id="127357199">
      <w:bodyDiv w:val="1"/>
      <w:marLeft w:val="0"/>
      <w:marRight w:val="0"/>
      <w:marTop w:val="0"/>
      <w:marBottom w:val="0"/>
      <w:divBdr>
        <w:top w:val="none" w:sz="0" w:space="0" w:color="auto"/>
        <w:left w:val="none" w:sz="0" w:space="0" w:color="auto"/>
        <w:bottom w:val="none" w:sz="0" w:space="0" w:color="auto"/>
        <w:right w:val="none" w:sz="0" w:space="0" w:color="auto"/>
      </w:divBdr>
    </w:div>
    <w:div w:id="156969037">
      <w:bodyDiv w:val="1"/>
      <w:marLeft w:val="0"/>
      <w:marRight w:val="0"/>
      <w:marTop w:val="0"/>
      <w:marBottom w:val="0"/>
      <w:divBdr>
        <w:top w:val="none" w:sz="0" w:space="0" w:color="auto"/>
        <w:left w:val="none" w:sz="0" w:space="0" w:color="auto"/>
        <w:bottom w:val="none" w:sz="0" w:space="0" w:color="auto"/>
        <w:right w:val="none" w:sz="0" w:space="0" w:color="auto"/>
      </w:divBdr>
    </w:div>
    <w:div w:id="197205312">
      <w:bodyDiv w:val="1"/>
      <w:marLeft w:val="0"/>
      <w:marRight w:val="0"/>
      <w:marTop w:val="0"/>
      <w:marBottom w:val="0"/>
      <w:divBdr>
        <w:top w:val="none" w:sz="0" w:space="0" w:color="auto"/>
        <w:left w:val="none" w:sz="0" w:space="0" w:color="auto"/>
        <w:bottom w:val="none" w:sz="0" w:space="0" w:color="auto"/>
        <w:right w:val="none" w:sz="0" w:space="0" w:color="auto"/>
      </w:divBdr>
    </w:div>
    <w:div w:id="209534006">
      <w:bodyDiv w:val="1"/>
      <w:marLeft w:val="0"/>
      <w:marRight w:val="0"/>
      <w:marTop w:val="0"/>
      <w:marBottom w:val="0"/>
      <w:divBdr>
        <w:top w:val="none" w:sz="0" w:space="0" w:color="auto"/>
        <w:left w:val="none" w:sz="0" w:space="0" w:color="auto"/>
        <w:bottom w:val="none" w:sz="0" w:space="0" w:color="auto"/>
        <w:right w:val="none" w:sz="0" w:space="0" w:color="auto"/>
      </w:divBdr>
    </w:div>
    <w:div w:id="231739163">
      <w:bodyDiv w:val="1"/>
      <w:marLeft w:val="0"/>
      <w:marRight w:val="0"/>
      <w:marTop w:val="0"/>
      <w:marBottom w:val="0"/>
      <w:divBdr>
        <w:top w:val="none" w:sz="0" w:space="0" w:color="auto"/>
        <w:left w:val="none" w:sz="0" w:space="0" w:color="auto"/>
        <w:bottom w:val="none" w:sz="0" w:space="0" w:color="auto"/>
        <w:right w:val="none" w:sz="0" w:space="0" w:color="auto"/>
      </w:divBdr>
    </w:div>
    <w:div w:id="297804881">
      <w:bodyDiv w:val="1"/>
      <w:marLeft w:val="0"/>
      <w:marRight w:val="0"/>
      <w:marTop w:val="0"/>
      <w:marBottom w:val="0"/>
      <w:divBdr>
        <w:top w:val="none" w:sz="0" w:space="0" w:color="auto"/>
        <w:left w:val="none" w:sz="0" w:space="0" w:color="auto"/>
        <w:bottom w:val="none" w:sz="0" w:space="0" w:color="auto"/>
        <w:right w:val="none" w:sz="0" w:space="0" w:color="auto"/>
      </w:divBdr>
    </w:div>
    <w:div w:id="336543366">
      <w:bodyDiv w:val="1"/>
      <w:marLeft w:val="0"/>
      <w:marRight w:val="0"/>
      <w:marTop w:val="0"/>
      <w:marBottom w:val="0"/>
      <w:divBdr>
        <w:top w:val="none" w:sz="0" w:space="0" w:color="auto"/>
        <w:left w:val="none" w:sz="0" w:space="0" w:color="auto"/>
        <w:bottom w:val="none" w:sz="0" w:space="0" w:color="auto"/>
        <w:right w:val="none" w:sz="0" w:space="0" w:color="auto"/>
      </w:divBdr>
    </w:div>
    <w:div w:id="347634227">
      <w:bodyDiv w:val="1"/>
      <w:marLeft w:val="0"/>
      <w:marRight w:val="0"/>
      <w:marTop w:val="0"/>
      <w:marBottom w:val="0"/>
      <w:divBdr>
        <w:top w:val="none" w:sz="0" w:space="0" w:color="auto"/>
        <w:left w:val="none" w:sz="0" w:space="0" w:color="auto"/>
        <w:bottom w:val="none" w:sz="0" w:space="0" w:color="auto"/>
        <w:right w:val="none" w:sz="0" w:space="0" w:color="auto"/>
      </w:divBdr>
    </w:div>
    <w:div w:id="349065556">
      <w:bodyDiv w:val="1"/>
      <w:marLeft w:val="0"/>
      <w:marRight w:val="0"/>
      <w:marTop w:val="0"/>
      <w:marBottom w:val="0"/>
      <w:divBdr>
        <w:top w:val="none" w:sz="0" w:space="0" w:color="auto"/>
        <w:left w:val="none" w:sz="0" w:space="0" w:color="auto"/>
        <w:bottom w:val="none" w:sz="0" w:space="0" w:color="auto"/>
        <w:right w:val="none" w:sz="0" w:space="0" w:color="auto"/>
      </w:divBdr>
    </w:div>
    <w:div w:id="400953687">
      <w:bodyDiv w:val="1"/>
      <w:marLeft w:val="0"/>
      <w:marRight w:val="0"/>
      <w:marTop w:val="0"/>
      <w:marBottom w:val="0"/>
      <w:divBdr>
        <w:top w:val="none" w:sz="0" w:space="0" w:color="auto"/>
        <w:left w:val="none" w:sz="0" w:space="0" w:color="auto"/>
        <w:bottom w:val="none" w:sz="0" w:space="0" w:color="auto"/>
        <w:right w:val="none" w:sz="0" w:space="0" w:color="auto"/>
      </w:divBdr>
      <w:divsChild>
        <w:div w:id="846485442">
          <w:marLeft w:val="533"/>
          <w:marRight w:val="0"/>
          <w:marTop w:val="0"/>
          <w:marBottom w:val="0"/>
          <w:divBdr>
            <w:top w:val="none" w:sz="0" w:space="0" w:color="auto"/>
            <w:left w:val="none" w:sz="0" w:space="0" w:color="auto"/>
            <w:bottom w:val="none" w:sz="0" w:space="0" w:color="auto"/>
            <w:right w:val="none" w:sz="0" w:space="0" w:color="auto"/>
          </w:divBdr>
        </w:div>
        <w:div w:id="1845977539">
          <w:marLeft w:val="533"/>
          <w:marRight w:val="0"/>
          <w:marTop w:val="0"/>
          <w:marBottom w:val="0"/>
          <w:divBdr>
            <w:top w:val="none" w:sz="0" w:space="0" w:color="auto"/>
            <w:left w:val="none" w:sz="0" w:space="0" w:color="auto"/>
            <w:bottom w:val="none" w:sz="0" w:space="0" w:color="auto"/>
            <w:right w:val="none" w:sz="0" w:space="0" w:color="auto"/>
          </w:divBdr>
        </w:div>
        <w:div w:id="753670350">
          <w:marLeft w:val="533"/>
          <w:marRight w:val="0"/>
          <w:marTop w:val="0"/>
          <w:marBottom w:val="0"/>
          <w:divBdr>
            <w:top w:val="none" w:sz="0" w:space="0" w:color="auto"/>
            <w:left w:val="none" w:sz="0" w:space="0" w:color="auto"/>
            <w:bottom w:val="none" w:sz="0" w:space="0" w:color="auto"/>
            <w:right w:val="none" w:sz="0" w:space="0" w:color="auto"/>
          </w:divBdr>
        </w:div>
        <w:div w:id="675228497">
          <w:marLeft w:val="533"/>
          <w:marRight w:val="0"/>
          <w:marTop w:val="0"/>
          <w:marBottom w:val="0"/>
          <w:divBdr>
            <w:top w:val="none" w:sz="0" w:space="0" w:color="auto"/>
            <w:left w:val="none" w:sz="0" w:space="0" w:color="auto"/>
            <w:bottom w:val="none" w:sz="0" w:space="0" w:color="auto"/>
            <w:right w:val="none" w:sz="0" w:space="0" w:color="auto"/>
          </w:divBdr>
        </w:div>
        <w:div w:id="1338272375">
          <w:marLeft w:val="216"/>
          <w:marRight w:val="0"/>
          <w:marTop w:val="0"/>
          <w:marBottom w:val="0"/>
          <w:divBdr>
            <w:top w:val="none" w:sz="0" w:space="0" w:color="auto"/>
            <w:left w:val="none" w:sz="0" w:space="0" w:color="auto"/>
            <w:bottom w:val="none" w:sz="0" w:space="0" w:color="auto"/>
            <w:right w:val="none" w:sz="0" w:space="0" w:color="auto"/>
          </w:divBdr>
        </w:div>
        <w:div w:id="1657682440">
          <w:marLeft w:val="216"/>
          <w:marRight w:val="0"/>
          <w:marTop w:val="0"/>
          <w:marBottom w:val="0"/>
          <w:divBdr>
            <w:top w:val="none" w:sz="0" w:space="0" w:color="auto"/>
            <w:left w:val="none" w:sz="0" w:space="0" w:color="auto"/>
            <w:bottom w:val="none" w:sz="0" w:space="0" w:color="auto"/>
            <w:right w:val="none" w:sz="0" w:space="0" w:color="auto"/>
          </w:divBdr>
        </w:div>
        <w:div w:id="431441913">
          <w:marLeft w:val="216"/>
          <w:marRight w:val="0"/>
          <w:marTop w:val="0"/>
          <w:marBottom w:val="0"/>
          <w:divBdr>
            <w:top w:val="none" w:sz="0" w:space="0" w:color="auto"/>
            <w:left w:val="none" w:sz="0" w:space="0" w:color="auto"/>
            <w:bottom w:val="none" w:sz="0" w:space="0" w:color="auto"/>
            <w:right w:val="none" w:sz="0" w:space="0" w:color="auto"/>
          </w:divBdr>
        </w:div>
        <w:div w:id="1041125809">
          <w:marLeft w:val="216"/>
          <w:marRight w:val="0"/>
          <w:marTop w:val="0"/>
          <w:marBottom w:val="0"/>
          <w:divBdr>
            <w:top w:val="none" w:sz="0" w:space="0" w:color="auto"/>
            <w:left w:val="none" w:sz="0" w:space="0" w:color="auto"/>
            <w:bottom w:val="none" w:sz="0" w:space="0" w:color="auto"/>
            <w:right w:val="none" w:sz="0" w:space="0" w:color="auto"/>
          </w:divBdr>
        </w:div>
      </w:divsChild>
    </w:div>
    <w:div w:id="412703739">
      <w:bodyDiv w:val="1"/>
      <w:marLeft w:val="0"/>
      <w:marRight w:val="0"/>
      <w:marTop w:val="0"/>
      <w:marBottom w:val="0"/>
      <w:divBdr>
        <w:top w:val="none" w:sz="0" w:space="0" w:color="auto"/>
        <w:left w:val="none" w:sz="0" w:space="0" w:color="auto"/>
        <w:bottom w:val="none" w:sz="0" w:space="0" w:color="auto"/>
        <w:right w:val="none" w:sz="0" w:space="0" w:color="auto"/>
      </w:divBdr>
    </w:div>
    <w:div w:id="435490790">
      <w:bodyDiv w:val="1"/>
      <w:marLeft w:val="0"/>
      <w:marRight w:val="0"/>
      <w:marTop w:val="0"/>
      <w:marBottom w:val="0"/>
      <w:divBdr>
        <w:top w:val="none" w:sz="0" w:space="0" w:color="auto"/>
        <w:left w:val="none" w:sz="0" w:space="0" w:color="auto"/>
        <w:bottom w:val="none" w:sz="0" w:space="0" w:color="auto"/>
        <w:right w:val="none" w:sz="0" w:space="0" w:color="auto"/>
      </w:divBdr>
    </w:div>
    <w:div w:id="448739652">
      <w:bodyDiv w:val="1"/>
      <w:marLeft w:val="0"/>
      <w:marRight w:val="0"/>
      <w:marTop w:val="0"/>
      <w:marBottom w:val="0"/>
      <w:divBdr>
        <w:top w:val="none" w:sz="0" w:space="0" w:color="auto"/>
        <w:left w:val="none" w:sz="0" w:space="0" w:color="auto"/>
        <w:bottom w:val="none" w:sz="0" w:space="0" w:color="auto"/>
        <w:right w:val="none" w:sz="0" w:space="0" w:color="auto"/>
      </w:divBdr>
    </w:div>
    <w:div w:id="487286966">
      <w:bodyDiv w:val="1"/>
      <w:marLeft w:val="0"/>
      <w:marRight w:val="0"/>
      <w:marTop w:val="0"/>
      <w:marBottom w:val="0"/>
      <w:divBdr>
        <w:top w:val="none" w:sz="0" w:space="0" w:color="auto"/>
        <w:left w:val="none" w:sz="0" w:space="0" w:color="auto"/>
        <w:bottom w:val="none" w:sz="0" w:space="0" w:color="auto"/>
        <w:right w:val="none" w:sz="0" w:space="0" w:color="auto"/>
      </w:divBdr>
    </w:div>
    <w:div w:id="506991712">
      <w:bodyDiv w:val="1"/>
      <w:marLeft w:val="0"/>
      <w:marRight w:val="0"/>
      <w:marTop w:val="0"/>
      <w:marBottom w:val="0"/>
      <w:divBdr>
        <w:top w:val="none" w:sz="0" w:space="0" w:color="auto"/>
        <w:left w:val="none" w:sz="0" w:space="0" w:color="auto"/>
        <w:bottom w:val="none" w:sz="0" w:space="0" w:color="auto"/>
        <w:right w:val="none" w:sz="0" w:space="0" w:color="auto"/>
      </w:divBdr>
    </w:div>
    <w:div w:id="545142843">
      <w:bodyDiv w:val="1"/>
      <w:marLeft w:val="0"/>
      <w:marRight w:val="0"/>
      <w:marTop w:val="0"/>
      <w:marBottom w:val="0"/>
      <w:divBdr>
        <w:top w:val="none" w:sz="0" w:space="0" w:color="auto"/>
        <w:left w:val="none" w:sz="0" w:space="0" w:color="auto"/>
        <w:bottom w:val="none" w:sz="0" w:space="0" w:color="auto"/>
        <w:right w:val="none" w:sz="0" w:space="0" w:color="auto"/>
      </w:divBdr>
    </w:div>
    <w:div w:id="561644695">
      <w:bodyDiv w:val="1"/>
      <w:marLeft w:val="0"/>
      <w:marRight w:val="0"/>
      <w:marTop w:val="0"/>
      <w:marBottom w:val="0"/>
      <w:divBdr>
        <w:top w:val="none" w:sz="0" w:space="0" w:color="auto"/>
        <w:left w:val="none" w:sz="0" w:space="0" w:color="auto"/>
        <w:bottom w:val="none" w:sz="0" w:space="0" w:color="auto"/>
        <w:right w:val="none" w:sz="0" w:space="0" w:color="auto"/>
      </w:divBdr>
      <w:divsChild>
        <w:div w:id="1982348543">
          <w:marLeft w:val="86"/>
          <w:marRight w:val="0"/>
          <w:marTop w:val="0"/>
          <w:marBottom w:val="240"/>
          <w:divBdr>
            <w:top w:val="none" w:sz="0" w:space="0" w:color="auto"/>
            <w:left w:val="none" w:sz="0" w:space="0" w:color="auto"/>
            <w:bottom w:val="none" w:sz="0" w:space="0" w:color="auto"/>
            <w:right w:val="none" w:sz="0" w:space="0" w:color="auto"/>
          </w:divBdr>
        </w:div>
        <w:div w:id="1614744345">
          <w:marLeft w:val="86"/>
          <w:marRight w:val="0"/>
          <w:marTop w:val="0"/>
          <w:marBottom w:val="240"/>
          <w:divBdr>
            <w:top w:val="none" w:sz="0" w:space="0" w:color="auto"/>
            <w:left w:val="none" w:sz="0" w:space="0" w:color="auto"/>
            <w:bottom w:val="none" w:sz="0" w:space="0" w:color="auto"/>
            <w:right w:val="none" w:sz="0" w:space="0" w:color="auto"/>
          </w:divBdr>
        </w:div>
        <w:div w:id="752047714">
          <w:marLeft w:val="86"/>
          <w:marRight w:val="0"/>
          <w:marTop w:val="0"/>
          <w:marBottom w:val="240"/>
          <w:divBdr>
            <w:top w:val="none" w:sz="0" w:space="0" w:color="auto"/>
            <w:left w:val="none" w:sz="0" w:space="0" w:color="auto"/>
            <w:bottom w:val="none" w:sz="0" w:space="0" w:color="auto"/>
            <w:right w:val="none" w:sz="0" w:space="0" w:color="auto"/>
          </w:divBdr>
        </w:div>
      </w:divsChild>
    </w:div>
    <w:div w:id="578751529">
      <w:bodyDiv w:val="1"/>
      <w:marLeft w:val="0"/>
      <w:marRight w:val="0"/>
      <w:marTop w:val="0"/>
      <w:marBottom w:val="0"/>
      <w:divBdr>
        <w:top w:val="none" w:sz="0" w:space="0" w:color="auto"/>
        <w:left w:val="none" w:sz="0" w:space="0" w:color="auto"/>
        <w:bottom w:val="none" w:sz="0" w:space="0" w:color="auto"/>
        <w:right w:val="none" w:sz="0" w:space="0" w:color="auto"/>
      </w:divBdr>
    </w:div>
    <w:div w:id="580525183">
      <w:bodyDiv w:val="1"/>
      <w:marLeft w:val="0"/>
      <w:marRight w:val="0"/>
      <w:marTop w:val="0"/>
      <w:marBottom w:val="0"/>
      <w:divBdr>
        <w:top w:val="none" w:sz="0" w:space="0" w:color="auto"/>
        <w:left w:val="none" w:sz="0" w:space="0" w:color="auto"/>
        <w:bottom w:val="none" w:sz="0" w:space="0" w:color="auto"/>
        <w:right w:val="none" w:sz="0" w:space="0" w:color="auto"/>
      </w:divBdr>
    </w:div>
    <w:div w:id="590360137">
      <w:bodyDiv w:val="1"/>
      <w:marLeft w:val="0"/>
      <w:marRight w:val="0"/>
      <w:marTop w:val="0"/>
      <w:marBottom w:val="0"/>
      <w:divBdr>
        <w:top w:val="none" w:sz="0" w:space="0" w:color="auto"/>
        <w:left w:val="none" w:sz="0" w:space="0" w:color="auto"/>
        <w:bottom w:val="none" w:sz="0" w:space="0" w:color="auto"/>
        <w:right w:val="none" w:sz="0" w:space="0" w:color="auto"/>
      </w:divBdr>
    </w:div>
    <w:div w:id="605816674">
      <w:bodyDiv w:val="1"/>
      <w:marLeft w:val="0"/>
      <w:marRight w:val="0"/>
      <w:marTop w:val="0"/>
      <w:marBottom w:val="0"/>
      <w:divBdr>
        <w:top w:val="none" w:sz="0" w:space="0" w:color="auto"/>
        <w:left w:val="none" w:sz="0" w:space="0" w:color="auto"/>
        <w:bottom w:val="none" w:sz="0" w:space="0" w:color="auto"/>
        <w:right w:val="none" w:sz="0" w:space="0" w:color="auto"/>
      </w:divBdr>
    </w:div>
    <w:div w:id="609239880">
      <w:bodyDiv w:val="1"/>
      <w:marLeft w:val="0"/>
      <w:marRight w:val="0"/>
      <w:marTop w:val="0"/>
      <w:marBottom w:val="0"/>
      <w:divBdr>
        <w:top w:val="none" w:sz="0" w:space="0" w:color="auto"/>
        <w:left w:val="none" w:sz="0" w:space="0" w:color="auto"/>
        <w:bottom w:val="none" w:sz="0" w:space="0" w:color="auto"/>
        <w:right w:val="none" w:sz="0" w:space="0" w:color="auto"/>
      </w:divBdr>
    </w:div>
    <w:div w:id="612519184">
      <w:bodyDiv w:val="1"/>
      <w:marLeft w:val="0"/>
      <w:marRight w:val="0"/>
      <w:marTop w:val="0"/>
      <w:marBottom w:val="0"/>
      <w:divBdr>
        <w:top w:val="none" w:sz="0" w:space="0" w:color="auto"/>
        <w:left w:val="none" w:sz="0" w:space="0" w:color="auto"/>
        <w:bottom w:val="none" w:sz="0" w:space="0" w:color="auto"/>
        <w:right w:val="none" w:sz="0" w:space="0" w:color="auto"/>
      </w:divBdr>
    </w:div>
    <w:div w:id="634070367">
      <w:bodyDiv w:val="1"/>
      <w:marLeft w:val="0"/>
      <w:marRight w:val="0"/>
      <w:marTop w:val="0"/>
      <w:marBottom w:val="0"/>
      <w:divBdr>
        <w:top w:val="none" w:sz="0" w:space="0" w:color="auto"/>
        <w:left w:val="none" w:sz="0" w:space="0" w:color="auto"/>
        <w:bottom w:val="none" w:sz="0" w:space="0" w:color="auto"/>
        <w:right w:val="none" w:sz="0" w:space="0" w:color="auto"/>
      </w:divBdr>
    </w:div>
    <w:div w:id="662245222">
      <w:bodyDiv w:val="1"/>
      <w:marLeft w:val="0"/>
      <w:marRight w:val="0"/>
      <w:marTop w:val="0"/>
      <w:marBottom w:val="0"/>
      <w:divBdr>
        <w:top w:val="none" w:sz="0" w:space="0" w:color="auto"/>
        <w:left w:val="none" w:sz="0" w:space="0" w:color="auto"/>
        <w:bottom w:val="none" w:sz="0" w:space="0" w:color="auto"/>
        <w:right w:val="none" w:sz="0" w:space="0" w:color="auto"/>
      </w:divBdr>
    </w:div>
    <w:div w:id="679357635">
      <w:bodyDiv w:val="1"/>
      <w:marLeft w:val="0"/>
      <w:marRight w:val="0"/>
      <w:marTop w:val="0"/>
      <w:marBottom w:val="0"/>
      <w:divBdr>
        <w:top w:val="none" w:sz="0" w:space="0" w:color="auto"/>
        <w:left w:val="none" w:sz="0" w:space="0" w:color="auto"/>
        <w:bottom w:val="none" w:sz="0" w:space="0" w:color="auto"/>
        <w:right w:val="none" w:sz="0" w:space="0" w:color="auto"/>
      </w:divBdr>
    </w:div>
    <w:div w:id="687483157">
      <w:bodyDiv w:val="1"/>
      <w:marLeft w:val="0"/>
      <w:marRight w:val="0"/>
      <w:marTop w:val="0"/>
      <w:marBottom w:val="0"/>
      <w:divBdr>
        <w:top w:val="none" w:sz="0" w:space="0" w:color="auto"/>
        <w:left w:val="none" w:sz="0" w:space="0" w:color="auto"/>
        <w:bottom w:val="none" w:sz="0" w:space="0" w:color="auto"/>
        <w:right w:val="none" w:sz="0" w:space="0" w:color="auto"/>
      </w:divBdr>
    </w:div>
    <w:div w:id="705914818">
      <w:bodyDiv w:val="1"/>
      <w:marLeft w:val="0"/>
      <w:marRight w:val="0"/>
      <w:marTop w:val="0"/>
      <w:marBottom w:val="0"/>
      <w:divBdr>
        <w:top w:val="none" w:sz="0" w:space="0" w:color="auto"/>
        <w:left w:val="none" w:sz="0" w:space="0" w:color="auto"/>
        <w:bottom w:val="none" w:sz="0" w:space="0" w:color="auto"/>
        <w:right w:val="none" w:sz="0" w:space="0" w:color="auto"/>
      </w:divBdr>
    </w:div>
    <w:div w:id="706102923">
      <w:bodyDiv w:val="1"/>
      <w:marLeft w:val="0"/>
      <w:marRight w:val="0"/>
      <w:marTop w:val="0"/>
      <w:marBottom w:val="0"/>
      <w:divBdr>
        <w:top w:val="none" w:sz="0" w:space="0" w:color="auto"/>
        <w:left w:val="none" w:sz="0" w:space="0" w:color="auto"/>
        <w:bottom w:val="none" w:sz="0" w:space="0" w:color="auto"/>
        <w:right w:val="none" w:sz="0" w:space="0" w:color="auto"/>
      </w:divBdr>
    </w:div>
    <w:div w:id="769666858">
      <w:bodyDiv w:val="1"/>
      <w:marLeft w:val="0"/>
      <w:marRight w:val="0"/>
      <w:marTop w:val="0"/>
      <w:marBottom w:val="0"/>
      <w:divBdr>
        <w:top w:val="none" w:sz="0" w:space="0" w:color="auto"/>
        <w:left w:val="none" w:sz="0" w:space="0" w:color="auto"/>
        <w:bottom w:val="none" w:sz="0" w:space="0" w:color="auto"/>
        <w:right w:val="none" w:sz="0" w:space="0" w:color="auto"/>
      </w:divBdr>
    </w:div>
    <w:div w:id="836653676">
      <w:bodyDiv w:val="1"/>
      <w:marLeft w:val="0"/>
      <w:marRight w:val="0"/>
      <w:marTop w:val="0"/>
      <w:marBottom w:val="0"/>
      <w:divBdr>
        <w:top w:val="none" w:sz="0" w:space="0" w:color="auto"/>
        <w:left w:val="none" w:sz="0" w:space="0" w:color="auto"/>
        <w:bottom w:val="none" w:sz="0" w:space="0" w:color="auto"/>
        <w:right w:val="none" w:sz="0" w:space="0" w:color="auto"/>
      </w:divBdr>
    </w:div>
    <w:div w:id="846792977">
      <w:bodyDiv w:val="1"/>
      <w:marLeft w:val="0"/>
      <w:marRight w:val="0"/>
      <w:marTop w:val="0"/>
      <w:marBottom w:val="0"/>
      <w:divBdr>
        <w:top w:val="none" w:sz="0" w:space="0" w:color="auto"/>
        <w:left w:val="none" w:sz="0" w:space="0" w:color="auto"/>
        <w:bottom w:val="none" w:sz="0" w:space="0" w:color="auto"/>
        <w:right w:val="none" w:sz="0" w:space="0" w:color="auto"/>
      </w:divBdr>
    </w:div>
    <w:div w:id="892235962">
      <w:bodyDiv w:val="1"/>
      <w:marLeft w:val="0"/>
      <w:marRight w:val="0"/>
      <w:marTop w:val="0"/>
      <w:marBottom w:val="0"/>
      <w:divBdr>
        <w:top w:val="none" w:sz="0" w:space="0" w:color="auto"/>
        <w:left w:val="none" w:sz="0" w:space="0" w:color="auto"/>
        <w:bottom w:val="none" w:sz="0" w:space="0" w:color="auto"/>
        <w:right w:val="none" w:sz="0" w:space="0" w:color="auto"/>
      </w:divBdr>
    </w:div>
    <w:div w:id="990452337">
      <w:bodyDiv w:val="1"/>
      <w:marLeft w:val="0"/>
      <w:marRight w:val="0"/>
      <w:marTop w:val="0"/>
      <w:marBottom w:val="0"/>
      <w:divBdr>
        <w:top w:val="none" w:sz="0" w:space="0" w:color="auto"/>
        <w:left w:val="none" w:sz="0" w:space="0" w:color="auto"/>
        <w:bottom w:val="none" w:sz="0" w:space="0" w:color="auto"/>
        <w:right w:val="none" w:sz="0" w:space="0" w:color="auto"/>
      </w:divBdr>
    </w:div>
    <w:div w:id="1011642896">
      <w:bodyDiv w:val="1"/>
      <w:marLeft w:val="0"/>
      <w:marRight w:val="0"/>
      <w:marTop w:val="0"/>
      <w:marBottom w:val="0"/>
      <w:divBdr>
        <w:top w:val="none" w:sz="0" w:space="0" w:color="auto"/>
        <w:left w:val="none" w:sz="0" w:space="0" w:color="auto"/>
        <w:bottom w:val="none" w:sz="0" w:space="0" w:color="auto"/>
        <w:right w:val="none" w:sz="0" w:space="0" w:color="auto"/>
      </w:divBdr>
    </w:div>
    <w:div w:id="1011756944">
      <w:bodyDiv w:val="1"/>
      <w:marLeft w:val="0"/>
      <w:marRight w:val="0"/>
      <w:marTop w:val="0"/>
      <w:marBottom w:val="0"/>
      <w:divBdr>
        <w:top w:val="none" w:sz="0" w:space="0" w:color="auto"/>
        <w:left w:val="none" w:sz="0" w:space="0" w:color="auto"/>
        <w:bottom w:val="none" w:sz="0" w:space="0" w:color="auto"/>
        <w:right w:val="none" w:sz="0" w:space="0" w:color="auto"/>
      </w:divBdr>
    </w:div>
    <w:div w:id="1013916784">
      <w:bodyDiv w:val="1"/>
      <w:marLeft w:val="0"/>
      <w:marRight w:val="0"/>
      <w:marTop w:val="0"/>
      <w:marBottom w:val="0"/>
      <w:divBdr>
        <w:top w:val="none" w:sz="0" w:space="0" w:color="auto"/>
        <w:left w:val="none" w:sz="0" w:space="0" w:color="auto"/>
        <w:bottom w:val="none" w:sz="0" w:space="0" w:color="auto"/>
        <w:right w:val="none" w:sz="0" w:space="0" w:color="auto"/>
      </w:divBdr>
    </w:div>
    <w:div w:id="1024791709">
      <w:bodyDiv w:val="1"/>
      <w:marLeft w:val="0"/>
      <w:marRight w:val="0"/>
      <w:marTop w:val="0"/>
      <w:marBottom w:val="0"/>
      <w:divBdr>
        <w:top w:val="none" w:sz="0" w:space="0" w:color="auto"/>
        <w:left w:val="none" w:sz="0" w:space="0" w:color="auto"/>
        <w:bottom w:val="none" w:sz="0" w:space="0" w:color="auto"/>
        <w:right w:val="none" w:sz="0" w:space="0" w:color="auto"/>
      </w:divBdr>
    </w:div>
    <w:div w:id="1032803035">
      <w:bodyDiv w:val="1"/>
      <w:marLeft w:val="0"/>
      <w:marRight w:val="0"/>
      <w:marTop w:val="0"/>
      <w:marBottom w:val="0"/>
      <w:divBdr>
        <w:top w:val="none" w:sz="0" w:space="0" w:color="auto"/>
        <w:left w:val="none" w:sz="0" w:space="0" w:color="auto"/>
        <w:bottom w:val="none" w:sz="0" w:space="0" w:color="auto"/>
        <w:right w:val="none" w:sz="0" w:space="0" w:color="auto"/>
      </w:divBdr>
    </w:div>
    <w:div w:id="1037894154">
      <w:bodyDiv w:val="1"/>
      <w:marLeft w:val="0"/>
      <w:marRight w:val="0"/>
      <w:marTop w:val="0"/>
      <w:marBottom w:val="0"/>
      <w:divBdr>
        <w:top w:val="none" w:sz="0" w:space="0" w:color="auto"/>
        <w:left w:val="none" w:sz="0" w:space="0" w:color="auto"/>
        <w:bottom w:val="none" w:sz="0" w:space="0" w:color="auto"/>
        <w:right w:val="none" w:sz="0" w:space="0" w:color="auto"/>
      </w:divBdr>
    </w:div>
    <w:div w:id="1061438477">
      <w:bodyDiv w:val="1"/>
      <w:marLeft w:val="0"/>
      <w:marRight w:val="0"/>
      <w:marTop w:val="0"/>
      <w:marBottom w:val="0"/>
      <w:divBdr>
        <w:top w:val="none" w:sz="0" w:space="0" w:color="auto"/>
        <w:left w:val="none" w:sz="0" w:space="0" w:color="auto"/>
        <w:bottom w:val="none" w:sz="0" w:space="0" w:color="auto"/>
        <w:right w:val="none" w:sz="0" w:space="0" w:color="auto"/>
      </w:divBdr>
    </w:div>
    <w:div w:id="1089354639">
      <w:bodyDiv w:val="1"/>
      <w:marLeft w:val="0"/>
      <w:marRight w:val="0"/>
      <w:marTop w:val="0"/>
      <w:marBottom w:val="0"/>
      <w:divBdr>
        <w:top w:val="none" w:sz="0" w:space="0" w:color="auto"/>
        <w:left w:val="none" w:sz="0" w:space="0" w:color="auto"/>
        <w:bottom w:val="none" w:sz="0" w:space="0" w:color="auto"/>
        <w:right w:val="none" w:sz="0" w:space="0" w:color="auto"/>
      </w:divBdr>
    </w:div>
    <w:div w:id="1100101565">
      <w:bodyDiv w:val="1"/>
      <w:marLeft w:val="0"/>
      <w:marRight w:val="0"/>
      <w:marTop w:val="0"/>
      <w:marBottom w:val="0"/>
      <w:divBdr>
        <w:top w:val="none" w:sz="0" w:space="0" w:color="auto"/>
        <w:left w:val="none" w:sz="0" w:space="0" w:color="auto"/>
        <w:bottom w:val="none" w:sz="0" w:space="0" w:color="auto"/>
        <w:right w:val="none" w:sz="0" w:space="0" w:color="auto"/>
      </w:divBdr>
    </w:div>
    <w:div w:id="1100761687">
      <w:bodyDiv w:val="1"/>
      <w:marLeft w:val="0"/>
      <w:marRight w:val="0"/>
      <w:marTop w:val="0"/>
      <w:marBottom w:val="0"/>
      <w:divBdr>
        <w:top w:val="none" w:sz="0" w:space="0" w:color="auto"/>
        <w:left w:val="none" w:sz="0" w:space="0" w:color="auto"/>
        <w:bottom w:val="none" w:sz="0" w:space="0" w:color="auto"/>
        <w:right w:val="none" w:sz="0" w:space="0" w:color="auto"/>
      </w:divBdr>
    </w:div>
    <w:div w:id="1118068085">
      <w:bodyDiv w:val="1"/>
      <w:marLeft w:val="0"/>
      <w:marRight w:val="0"/>
      <w:marTop w:val="0"/>
      <w:marBottom w:val="0"/>
      <w:divBdr>
        <w:top w:val="none" w:sz="0" w:space="0" w:color="auto"/>
        <w:left w:val="none" w:sz="0" w:space="0" w:color="auto"/>
        <w:bottom w:val="none" w:sz="0" w:space="0" w:color="auto"/>
        <w:right w:val="none" w:sz="0" w:space="0" w:color="auto"/>
      </w:divBdr>
    </w:div>
    <w:div w:id="1121339829">
      <w:bodyDiv w:val="1"/>
      <w:marLeft w:val="0"/>
      <w:marRight w:val="0"/>
      <w:marTop w:val="0"/>
      <w:marBottom w:val="0"/>
      <w:divBdr>
        <w:top w:val="none" w:sz="0" w:space="0" w:color="auto"/>
        <w:left w:val="none" w:sz="0" w:space="0" w:color="auto"/>
        <w:bottom w:val="none" w:sz="0" w:space="0" w:color="auto"/>
        <w:right w:val="none" w:sz="0" w:space="0" w:color="auto"/>
      </w:divBdr>
    </w:div>
    <w:div w:id="1169902257">
      <w:bodyDiv w:val="1"/>
      <w:marLeft w:val="0"/>
      <w:marRight w:val="0"/>
      <w:marTop w:val="0"/>
      <w:marBottom w:val="0"/>
      <w:divBdr>
        <w:top w:val="none" w:sz="0" w:space="0" w:color="auto"/>
        <w:left w:val="none" w:sz="0" w:space="0" w:color="auto"/>
        <w:bottom w:val="none" w:sz="0" w:space="0" w:color="auto"/>
        <w:right w:val="none" w:sz="0" w:space="0" w:color="auto"/>
      </w:divBdr>
    </w:div>
    <w:div w:id="1217471693">
      <w:bodyDiv w:val="1"/>
      <w:marLeft w:val="0"/>
      <w:marRight w:val="0"/>
      <w:marTop w:val="0"/>
      <w:marBottom w:val="0"/>
      <w:divBdr>
        <w:top w:val="none" w:sz="0" w:space="0" w:color="auto"/>
        <w:left w:val="none" w:sz="0" w:space="0" w:color="auto"/>
        <w:bottom w:val="none" w:sz="0" w:space="0" w:color="auto"/>
        <w:right w:val="none" w:sz="0" w:space="0" w:color="auto"/>
      </w:divBdr>
    </w:div>
    <w:div w:id="1220555042">
      <w:bodyDiv w:val="1"/>
      <w:marLeft w:val="0"/>
      <w:marRight w:val="0"/>
      <w:marTop w:val="0"/>
      <w:marBottom w:val="0"/>
      <w:divBdr>
        <w:top w:val="none" w:sz="0" w:space="0" w:color="auto"/>
        <w:left w:val="none" w:sz="0" w:space="0" w:color="auto"/>
        <w:bottom w:val="none" w:sz="0" w:space="0" w:color="auto"/>
        <w:right w:val="none" w:sz="0" w:space="0" w:color="auto"/>
      </w:divBdr>
    </w:div>
    <w:div w:id="1239097786">
      <w:bodyDiv w:val="1"/>
      <w:marLeft w:val="0"/>
      <w:marRight w:val="0"/>
      <w:marTop w:val="0"/>
      <w:marBottom w:val="0"/>
      <w:divBdr>
        <w:top w:val="none" w:sz="0" w:space="0" w:color="auto"/>
        <w:left w:val="none" w:sz="0" w:space="0" w:color="auto"/>
        <w:bottom w:val="none" w:sz="0" w:space="0" w:color="auto"/>
        <w:right w:val="none" w:sz="0" w:space="0" w:color="auto"/>
      </w:divBdr>
    </w:div>
    <w:div w:id="1258564811">
      <w:bodyDiv w:val="1"/>
      <w:marLeft w:val="0"/>
      <w:marRight w:val="0"/>
      <w:marTop w:val="0"/>
      <w:marBottom w:val="0"/>
      <w:divBdr>
        <w:top w:val="none" w:sz="0" w:space="0" w:color="auto"/>
        <w:left w:val="none" w:sz="0" w:space="0" w:color="auto"/>
        <w:bottom w:val="none" w:sz="0" w:space="0" w:color="auto"/>
        <w:right w:val="none" w:sz="0" w:space="0" w:color="auto"/>
      </w:divBdr>
    </w:div>
    <w:div w:id="1289165787">
      <w:bodyDiv w:val="1"/>
      <w:marLeft w:val="0"/>
      <w:marRight w:val="0"/>
      <w:marTop w:val="0"/>
      <w:marBottom w:val="0"/>
      <w:divBdr>
        <w:top w:val="none" w:sz="0" w:space="0" w:color="auto"/>
        <w:left w:val="none" w:sz="0" w:space="0" w:color="auto"/>
        <w:bottom w:val="none" w:sz="0" w:space="0" w:color="auto"/>
        <w:right w:val="none" w:sz="0" w:space="0" w:color="auto"/>
      </w:divBdr>
    </w:div>
    <w:div w:id="1313753268">
      <w:bodyDiv w:val="1"/>
      <w:marLeft w:val="0"/>
      <w:marRight w:val="0"/>
      <w:marTop w:val="0"/>
      <w:marBottom w:val="0"/>
      <w:divBdr>
        <w:top w:val="none" w:sz="0" w:space="0" w:color="auto"/>
        <w:left w:val="none" w:sz="0" w:space="0" w:color="auto"/>
        <w:bottom w:val="none" w:sz="0" w:space="0" w:color="auto"/>
        <w:right w:val="none" w:sz="0" w:space="0" w:color="auto"/>
      </w:divBdr>
    </w:div>
    <w:div w:id="1350063959">
      <w:bodyDiv w:val="1"/>
      <w:marLeft w:val="0"/>
      <w:marRight w:val="0"/>
      <w:marTop w:val="0"/>
      <w:marBottom w:val="0"/>
      <w:divBdr>
        <w:top w:val="none" w:sz="0" w:space="0" w:color="auto"/>
        <w:left w:val="none" w:sz="0" w:space="0" w:color="auto"/>
        <w:bottom w:val="none" w:sz="0" w:space="0" w:color="auto"/>
        <w:right w:val="none" w:sz="0" w:space="0" w:color="auto"/>
      </w:divBdr>
    </w:div>
    <w:div w:id="1378163668">
      <w:bodyDiv w:val="1"/>
      <w:marLeft w:val="0"/>
      <w:marRight w:val="0"/>
      <w:marTop w:val="0"/>
      <w:marBottom w:val="0"/>
      <w:divBdr>
        <w:top w:val="none" w:sz="0" w:space="0" w:color="auto"/>
        <w:left w:val="none" w:sz="0" w:space="0" w:color="auto"/>
        <w:bottom w:val="none" w:sz="0" w:space="0" w:color="auto"/>
        <w:right w:val="none" w:sz="0" w:space="0" w:color="auto"/>
      </w:divBdr>
    </w:div>
    <w:div w:id="1391878573">
      <w:bodyDiv w:val="1"/>
      <w:marLeft w:val="0"/>
      <w:marRight w:val="0"/>
      <w:marTop w:val="0"/>
      <w:marBottom w:val="0"/>
      <w:divBdr>
        <w:top w:val="none" w:sz="0" w:space="0" w:color="auto"/>
        <w:left w:val="none" w:sz="0" w:space="0" w:color="auto"/>
        <w:bottom w:val="none" w:sz="0" w:space="0" w:color="auto"/>
        <w:right w:val="none" w:sz="0" w:space="0" w:color="auto"/>
      </w:divBdr>
    </w:div>
    <w:div w:id="1412235747">
      <w:bodyDiv w:val="1"/>
      <w:marLeft w:val="0"/>
      <w:marRight w:val="0"/>
      <w:marTop w:val="0"/>
      <w:marBottom w:val="0"/>
      <w:divBdr>
        <w:top w:val="none" w:sz="0" w:space="0" w:color="auto"/>
        <w:left w:val="none" w:sz="0" w:space="0" w:color="auto"/>
        <w:bottom w:val="none" w:sz="0" w:space="0" w:color="auto"/>
        <w:right w:val="none" w:sz="0" w:space="0" w:color="auto"/>
      </w:divBdr>
    </w:div>
    <w:div w:id="1450127680">
      <w:bodyDiv w:val="1"/>
      <w:marLeft w:val="0"/>
      <w:marRight w:val="0"/>
      <w:marTop w:val="0"/>
      <w:marBottom w:val="0"/>
      <w:divBdr>
        <w:top w:val="none" w:sz="0" w:space="0" w:color="auto"/>
        <w:left w:val="none" w:sz="0" w:space="0" w:color="auto"/>
        <w:bottom w:val="none" w:sz="0" w:space="0" w:color="auto"/>
        <w:right w:val="none" w:sz="0" w:space="0" w:color="auto"/>
      </w:divBdr>
    </w:div>
    <w:div w:id="1474520280">
      <w:bodyDiv w:val="1"/>
      <w:marLeft w:val="0"/>
      <w:marRight w:val="0"/>
      <w:marTop w:val="0"/>
      <w:marBottom w:val="0"/>
      <w:divBdr>
        <w:top w:val="none" w:sz="0" w:space="0" w:color="auto"/>
        <w:left w:val="none" w:sz="0" w:space="0" w:color="auto"/>
        <w:bottom w:val="none" w:sz="0" w:space="0" w:color="auto"/>
        <w:right w:val="none" w:sz="0" w:space="0" w:color="auto"/>
      </w:divBdr>
    </w:div>
    <w:div w:id="1497842162">
      <w:bodyDiv w:val="1"/>
      <w:marLeft w:val="0"/>
      <w:marRight w:val="0"/>
      <w:marTop w:val="0"/>
      <w:marBottom w:val="0"/>
      <w:divBdr>
        <w:top w:val="none" w:sz="0" w:space="0" w:color="auto"/>
        <w:left w:val="none" w:sz="0" w:space="0" w:color="auto"/>
        <w:bottom w:val="none" w:sz="0" w:space="0" w:color="auto"/>
        <w:right w:val="none" w:sz="0" w:space="0" w:color="auto"/>
      </w:divBdr>
    </w:div>
    <w:div w:id="1536456812">
      <w:bodyDiv w:val="1"/>
      <w:marLeft w:val="0"/>
      <w:marRight w:val="0"/>
      <w:marTop w:val="0"/>
      <w:marBottom w:val="0"/>
      <w:divBdr>
        <w:top w:val="none" w:sz="0" w:space="0" w:color="auto"/>
        <w:left w:val="none" w:sz="0" w:space="0" w:color="auto"/>
        <w:bottom w:val="none" w:sz="0" w:space="0" w:color="auto"/>
        <w:right w:val="none" w:sz="0" w:space="0" w:color="auto"/>
      </w:divBdr>
    </w:div>
    <w:div w:id="1538932854">
      <w:bodyDiv w:val="1"/>
      <w:marLeft w:val="0"/>
      <w:marRight w:val="0"/>
      <w:marTop w:val="0"/>
      <w:marBottom w:val="0"/>
      <w:divBdr>
        <w:top w:val="none" w:sz="0" w:space="0" w:color="auto"/>
        <w:left w:val="none" w:sz="0" w:space="0" w:color="auto"/>
        <w:bottom w:val="none" w:sz="0" w:space="0" w:color="auto"/>
        <w:right w:val="none" w:sz="0" w:space="0" w:color="auto"/>
      </w:divBdr>
    </w:div>
    <w:div w:id="1540823139">
      <w:bodyDiv w:val="1"/>
      <w:marLeft w:val="0"/>
      <w:marRight w:val="0"/>
      <w:marTop w:val="0"/>
      <w:marBottom w:val="0"/>
      <w:divBdr>
        <w:top w:val="none" w:sz="0" w:space="0" w:color="auto"/>
        <w:left w:val="none" w:sz="0" w:space="0" w:color="auto"/>
        <w:bottom w:val="none" w:sz="0" w:space="0" w:color="auto"/>
        <w:right w:val="none" w:sz="0" w:space="0" w:color="auto"/>
      </w:divBdr>
    </w:div>
    <w:div w:id="1550846679">
      <w:bodyDiv w:val="1"/>
      <w:marLeft w:val="0"/>
      <w:marRight w:val="0"/>
      <w:marTop w:val="0"/>
      <w:marBottom w:val="0"/>
      <w:divBdr>
        <w:top w:val="none" w:sz="0" w:space="0" w:color="auto"/>
        <w:left w:val="none" w:sz="0" w:space="0" w:color="auto"/>
        <w:bottom w:val="none" w:sz="0" w:space="0" w:color="auto"/>
        <w:right w:val="none" w:sz="0" w:space="0" w:color="auto"/>
      </w:divBdr>
    </w:div>
    <w:div w:id="1568567083">
      <w:bodyDiv w:val="1"/>
      <w:marLeft w:val="0"/>
      <w:marRight w:val="0"/>
      <w:marTop w:val="0"/>
      <w:marBottom w:val="0"/>
      <w:divBdr>
        <w:top w:val="none" w:sz="0" w:space="0" w:color="auto"/>
        <w:left w:val="none" w:sz="0" w:space="0" w:color="auto"/>
        <w:bottom w:val="none" w:sz="0" w:space="0" w:color="auto"/>
        <w:right w:val="none" w:sz="0" w:space="0" w:color="auto"/>
      </w:divBdr>
    </w:div>
    <w:div w:id="1597860134">
      <w:bodyDiv w:val="1"/>
      <w:marLeft w:val="0"/>
      <w:marRight w:val="0"/>
      <w:marTop w:val="0"/>
      <w:marBottom w:val="0"/>
      <w:divBdr>
        <w:top w:val="none" w:sz="0" w:space="0" w:color="auto"/>
        <w:left w:val="none" w:sz="0" w:space="0" w:color="auto"/>
        <w:bottom w:val="none" w:sz="0" w:space="0" w:color="auto"/>
        <w:right w:val="none" w:sz="0" w:space="0" w:color="auto"/>
      </w:divBdr>
    </w:div>
    <w:div w:id="1598173135">
      <w:bodyDiv w:val="1"/>
      <w:marLeft w:val="0"/>
      <w:marRight w:val="0"/>
      <w:marTop w:val="0"/>
      <w:marBottom w:val="0"/>
      <w:divBdr>
        <w:top w:val="none" w:sz="0" w:space="0" w:color="auto"/>
        <w:left w:val="none" w:sz="0" w:space="0" w:color="auto"/>
        <w:bottom w:val="none" w:sz="0" w:space="0" w:color="auto"/>
        <w:right w:val="none" w:sz="0" w:space="0" w:color="auto"/>
      </w:divBdr>
    </w:div>
    <w:div w:id="1598294771">
      <w:bodyDiv w:val="1"/>
      <w:marLeft w:val="0"/>
      <w:marRight w:val="0"/>
      <w:marTop w:val="0"/>
      <w:marBottom w:val="0"/>
      <w:divBdr>
        <w:top w:val="none" w:sz="0" w:space="0" w:color="auto"/>
        <w:left w:val="none" w:sz="0" w:space="0" w:color="auto"/>
        <w:bottom w:val="none" w:sz="0" w:space="0" w:color="auto"/>
        <w:right w:val="none" w:sz="0" w:space="0" w:color="auto"/>
      </w:divBdr>
    </w:div>
    <w:div w:id="1611207564">
      <w:bodyDiv w:val="1"/>
      <w:marLeft w:val="0"/>
      <w:marRight w:val="0"/>
      <w:marTop w:val="0"/>
      <w:marBottom w:val="0"/>
      <w:divBdr>
        <w:top w:val="none" w:sz="0" w:space="0" w:color="auto"/>
        <w:left w:val="none" w:sz="0" w:space="0" w:color="auto"/>
        <w:bottom w:val="none" w:sz="0" w:space="0" w:color="auto"/>
        <w:right w:val="none" w:sz="0" w:space="0" w:color="auto"/>
      </w:divBdr>
    </w:div>
    <w:div w:id="1639411456">
      <w:bodyDiv w:val="1"/>
      <w:marLeft w:val="0"/>
      <w:marRight w:val="0"/>
      <w:marTop w:val="0"/>
      <w:marBottom w:val="0"/>
      <w:divBdr>
        <w:top w:val="none" w:sz="0" w:space="0" w:color="auto"/>
        <w:left w:val="none" w:sz="0" w:space="0" w:color="auto"/>
        <w:bottom w:val="none" w:sz="0" w:space="0" w:color="auto"/>
        <w:right w:val="none" w:sz="0" w:space="0" w:color="auto"/>
      </w:divBdr>
    </w:div>
    <w:div w:id="1670524090">
      <w:bodyDiv w:val="1"/>
      <w:marLeft w:val="0"/>
      <w:marRight w:val="0"/>
      <w:marTop w:val="0"/>
      <w:marBottom w:val="0"/>
      <w:divBdr>
        <w:top w:val="none" w:sz="0" w:space="0" w:color="auto"/>
        <w:left w:val="none" w:sz="0" w:space="0" w:color="auto"/>
        <w:bottom w:val="none" w:sz="0" w:space="0" w:color="auto"/>
        <w:right w:val="none" w:sz="0" w:space="0" w:color="auto"/>
      </w:divBdr>
    </w:div>
    <w:div w:id="1674724770">
      <w:bodyDiv w:val="1"/>
      <w:marLeft w:val="0"/>
      <w:marRight w:val="0"/>
      <w:marTop w:val="0"/>
      <w:marBottom w:val="0"/>
      <w:divBdr>
        <w:top w:val="none" w:sz="0" w:space="0" w:color="auto"/>
        <w:left w:val="none" w:sz="0" w:space="0" w:color="auto"/>
        <w:bottom w:val="none" w:sz="0" w:space="0" w:color="auto"/>
        <w:right w:val="none" w:sz="0" w:space="0" w:color="auto"/>
      </w:divBdr>
    </w:div>
    <w:div w:id="1682318932">
      <w:bodyDiv w:val="1"/>
      <w:marLeft w:val="0"/>
      <w:marRight w:val="0"/>
      <w:marTop w:val="0"/>
      <w:marBottom w:val="0"/>
      <w:divBdr>
        <w:top w:val="none" w:sz="0" w:space="0" w:color="auto"/>
        <w:left w:val="none" w:sz="0" w:space="0" w:color="auto"/>
        <w:bottom w:val="none" w:sz="0" w:space="0" w:color="auto"/>
        <w:right w:val="none" w:sz="0" w:space="0" w:color="auto"/>
      </w:divBdr>
    </w:div>
    <w:div w:id="1682471060">
      <w:bodyDiv w:val="1"/>
      <w:marLeft w:val="0"/>
      <w:marRight w:val="0"/>
      <w:marTop w:val="0"/>
      <w:marBottom w:val="0"/>
      <w:divBdr>
        <w:top w:val="none" w:sz="0" w:space="0" w:color="auto"/>
        <w:left w:val="none" w:sz="0" w:space="0" w:color="auto"/>
        <w:bottom w:val="none" w:sz="0" w:space="0" w:color="auto"/>
        <w:right w:val="none" w:sz="0" w:space="0" w:color="auto"/>
      </w:divBdr>
    </w:div>
    <w:div w:id="1699044555">
      <w:bodyDiv w:val="1"/>
      <w:marLeft w:val="0"/>
      <w:marRight w:val="0"/>
      <w:marTop w:val="0"/>
      <w:marBottom w:val="0"/>
      <w:divBdr>
        <w:top w:val="none" w:sz="0" w:space="0" w:color="auto"/>
        <w:left w:val="none" w:sz="0" w:space="0" w:color="auto"/>
        <w:bottom w:val="none" w:sz="0" w:space="0" w:color="auto"/>
        <w:right w:val="none" w:sz="0" w:space="0" w:color="auto"/>
      </w:divBdr>
    </w:div>
    <w:div w:id="1724058465">
      <w:bodyDiv w:val="1"/>
      <w:marLeft w:val="0"/>
      <w:marRight w:val="0"/>
      <w:marTop w:val="0"/>
      <w:marBottom w:val="0"/>
      <w:divBdr>
        <w:top w:val="none" w:sz="0" w:space="0" w:color="auto"/>
        <w:left w:val="none" w:sz="0" w:space="0" w:color="auto"/>
        <w:bottom w:val="none" w:sz="0" w:space="0" w:color="auto"/>
        <w:right w:val="none" w:sz="0" w:space="0" w:color="auto"/>
      </w:divBdr>
    </w:div>
    <w:div w:id="1736972993">
      <w:bodyDiv w:val="1"/>
      <w:marLeft w:val="0"/>
      <w:marRight w:val="0"/>
      <w:marTop w:val="0"/>
      <w:marBottom w:val="0"/>
      <w:divBdr>
        <w:top w:val="none" w:sz="0" w:space="0" w:color="auto"/>
        <w:left w:val="none" w:sz="0" w:space="0" w:color="auto"/>
        <w:bottom w:val="none" w:sz="0" w:space="0" w:color="auto"/>
        <w:right w:val="none" w:sz="0" w:space="0" w:color="auto"/>
      </w:divBdr>
    </w:div>
    <w:div w:id="1741291979">
      <w:bodyDiv w:val="1"/>
      <w:marLeft w:val="0"/>
      <w:marRight w:val="0"/>
      <w:marTop w:val="0"/>
      <w:marBottom w:val="0"/>
      <w:divBdr>
        <w:top w:val="none" w:sz="0" w:space="0" w:color="auto"/>
        <w:left w:val="none" w:sz="0" w:space="0" w:color="auto"/>
        <w:bottom w:val="none" w:sz="0" w:space="0" w:color="auto"/>
        <w:right w:val="none" w:sz="0" w:space="0" w:color="auto"/>
      </w:divBdr>
    </w:div>
    <w:div w:id="1761095600">
      <w:bodyDiv w:val="1"/>
      <w:marLeft w:val="0"/>
      <w:marRight w:val="0"/>
      <w:marTop w:val="0"/>
      <w:marBottom w:val="0"/>
      <w:divBdr>
        <w:top w:val="none" w:sz="0" w:space="0" w:color="auto"/>
        <w:left w:val="none" w:sz="0" w:space="0" w:color="auto"/>
        <w:bottom w:val="none" w:sz="0" w:space="0" w:color="auto"/>
        <w:right w:val="none" w:sz="0" w:space="0" w:color="auto"/>
      </w:divBdr>
    </w:div>
    <w:div w:id="1822454907">
      <w:bodyDiv w:val="1"/>
      <w:marLeft w:val="0"/>
      <w:marRight w:val="0"/>
      <w:marTop w:val="0"/>
      <w:marBottom w:val="0"/>
      <w:divBdr>
        <w:top w:val="none" w:sz="0" w:space="0" w:color="auto"/>
        <w:left w:val="none" w:sz="0" w:space="0" w:color="auto"/>
        <w:bottom w:val="none" w:sz="0" w:space="0" w:color="auto"/>
        <w:right w:val="none" w:sz="0" w:space="0" w:color="auto"/>
      </w:divBdr>
    </w:div>
    <w:div w:id="1824538164">
      <w:bodyDiv w:val="1"/>
      <w:marLeft w:val="0"/>
      <w:marRight w:val="0"/>
      <w:marTop w:val="0"/>
      <w:marBottom w:val="0"/>
      <w:divBdr>
        <w:top w:val="none" w:sz="0" w:space="0" w:color="auto"/>
        <w:left w:val="none" w:sz="0" w:space="0" w:color="auto"/>
        <w:bottom w:val="none" w:sz="0" w:space="0" w:color="auto"/>
        <w:right w:val="none" w:sz="0" w:space="0" w:color="auto"/>
      </w:divBdr>
    </w:div>
    <w:div w:id="1828547162">
      <w:bodyDiv w:val="1"/>
      <w:marLeft w:val="0"/>
      <w:marRight w:val="0"/>
      <w:marTop w:val="0"/>
      <w:marBottom w:val="0"/>
      <w:divBdr>
        <w:top w:val="none" w:sz="0" w:space="0" w:color="auto"/>
        <w:left w:val="none" w:sz="0" w:space="0" w:color="auto"/>
        <w:bottom w:val="none" w:sz="0" w:space="0" w:color="auto"/>
        <w:right w:val="none" w:sz="0" w:space="0" w:color="auto"/>
      </w:divBdr>
    </w:div>
    <w:div w:id="1842544856">
      <w:bodyDiv w:val="1"/>
      <w:marLeft w:val="0"/>
      <w:marRight w:val="0"/>
      <w:marTop w:val="0"/>
      <w:marBottom w:val="0"/>
      <w:divBdr>
        <w:top w:val="none" w:sz="0" w:space="0" w:color="auto"/>
        <w:left w:val="none" w:sz="0" w:space="0" w:color="auto"/>
        <w:bottom w:val="none" w:sz="0" w:space="0" w:color="auto"/>
        <w:right w:val="none" w:sz="0" w:space="0" w:color="auto"/>
      </w:divBdr>
    </w:div>
    <w:div w:id="1870069807">
      <w:bodyDiv w:val="1"/>
      <w:marLeft w:val="0"/>
      <w:marRight w:val="0"/>
      <w:marTop w:val="0"/>
      <w:marBottom w:val="0"/>
      <w:divBdr>
        <w:top w:val="none" w:sz="0" w:space="0" w:color="auto"/>
        <w:left w:val="none" w:sz="0" w:space="0" w:color="auto"/>
        <w:bottom w:val="none" w:sz="0" w:space="0" w:color="auto"/>
        <w:right w:val="none" w:sz="0" w:space="0" w:color="auto"/>
      </w:divBdr>
    </w:div>
    <w:div w:id="1916627016">
      <w:bodyDiv w:val="1"/>
      <w:marLeft w:val="0"/>
      <w:marRight w:val="0"/>
      <w:marTop w:val="0"/>
      <w:marBottom w:val="0"/>
      <w:divBdr>
        <w:top w:val="none" w:sz="0" w:space="0" w:color="auto"/>
        <w:left w:val="none" w:sz="0" w:space="0" w:color="auto"/>
        <w:bottom w:val="none" w:sz="0" w:space="0" w:color="auto"/>
        <w:right w:val="none" w:sz="0" w:space="0" w:color="auto"/>
      </w:divBdr>
    </w:div>
    <w:div w:id="1944721103">
      <w:bodyDiv w:val="1"/>
      <w:marLeft w:val="0"/>
      <w:marRight w:val="0"/>
      <w:marTop w:val="0"/>
      <w:marBottom w:val="0"/>
      <w:divBdr>
        <w:top w:val="none" w:sz="0" w:space="0" w:color="auto"/>
        <w:left w:val="none" w:sz="0" w:space="0" w:color="auto"/>
        <w:bottom w:val="none" w:sz="0" w:space="0" w:color="auto"/>
        <w:right w:val="none" w:sz="0" w:space="0" w:color="auto"/>
      </w:divBdr>
    </w:div>
    <w:div w:id="1963342719">
      <w:bodyDiv w:val="1"/>
      <w:marLeft w:val="0"/>
      <w:marRight w:val="0"/>
      <w:marTop w:val="0"/>
      <w:marBottom w:val="0"/>
      <w:divBdr>
        <w:top w:val="none" w:sz="0" w:space="0" w:color="auto"/>
        <w:left w:val="none" w:sz="0" w:space="0" w:color="auto"/>
        <w:bottom w:val="none" w:sz="0" w:space="0" w:color="auto"/>
        <w:right w:val="none" w:sz="0" w:space="0" w:color="auto"/>
      </w:divBdr>
    </w:div>
    <w:div w:id="1964798765">
      <w:bodyDiv w:val="1"/>
      <w:marLeft w:val="0"/>
      <w:marRight w:val="0"/>
      <w:marTop w:val="0"/>
      <w:marBottom w:val="0"/>
      <w:divBdr>
        <w:top w:val="none" w:sz="0" w:space="0" w:color="auto"/>
        <w:left w:val="none" w:sz="0" w:space="0" w:color="auto"/>
        <w:bottom w:val="none" w:sz="0" w:space="0" w:color="auto"/>
        <w:right w:val="none" w:sz="0" w:space="0" w:color="auto"/>
      </w:divBdr>
    </w:div>
    <w:div w:id="1974023254">
      <w:bodyDiv w:val="1"/>
      <w:marLeft w:val="0"/>
      <w:marRight w:val="0"/>
      <w:marTop w:val="0"/>
      <w:marBottom w:val="0"/>
      <w:divBdr>
        <w:top w:val="none" w:sz="0" w:space="0" w:color="auto"/>
        <w:left w:val="none" w:sz="0" w:space="0" w:color="auto"/>
        <w:bottom w:val="none" w:sz="0" w:space="0" w:color="auto"/>
        <w:right w:val="none" w:sz="0" w:space="0" w:color="auto"/>
      </w:divBdr>
    </w:div>
    <w:div w:id="2001687217">
      <w:bodyDiv w:val="1"/>
      <w:marLeft w:val="0"/>
      <w:marRight w:val="0"/>
      <w:marTop w:val="0"/>
      <w:marBottom w:val="0"/>
      <w:divBdr>
        <w:top w:val="none" w:sz="0" w:space="0" w:color="auto"/>
        <w:left w:val="none" w:sz="0" w:space="0" w:color="auto"/>
        <w:bottom w:val="none" w:sz="0" w:space="0" w:color="auto"/>
        <w:right w:val="none" w:sz="0" w:space="0" w:color="auto"/>
      </w:divBdr>
    </w:div>
    <w:div w:id="2008317724">
      <w:bodyDiv w:val="1"/>
      <w:marLeft w:val="0"/>
      <w:marRight w:val="0"/>
      <w:marTop w:val="0"/>
      <w:marBottom w:val="0"/>
      <w:divBdr>
        <w:top w:val="none" w:sz="0" w:space="0" w:color="auto"/>
        <w:left w:val="none" w:sz="0" w:space="0" w:color="auto"/>
        <w:bottom w:val="none" w:sz="0" w:space="0" w:color="auto"/>
        <w:right w:val="none" w:sz="0" w:space="0" w:color="auto"/>
      </w:divBdr>
    </w:div>
    <w:div w:id="2027099796">
      <w:bodyDiv w:val="1"/>
      <w:marLeft w:val="0"/>
      <w:marRight w:val="0"/>
      <w:marTop w:val="0"/>
      <w:marBottom w:val="0"/>
      <w:divBdr>
        <w:top w:val="none" w:sz="0" w:space="0" w:color="auto"/>
        <w:left w:val="none" w:sz="0" w:space="0" w:color="auto"/>
        <w:bottom w:val="none" w:sz="0" w:space="0" w:color="auto"/>
        <w:right w:val="none" w:sz="0" w:space="0" w:color="auto"/>
      </w:divBdr>
    </w:div>
    <w:div w:id="2035380773">
      <w:bodyDiv w:val="1"/>
      <w:marLeft w:val="0"/>
      <w:marRight w:val="0"/>
      <w:marTop w:val="0"/>
      <w:marBottom w:val="0"/>
      <w:divBdr>
        <w:top w:val="none" w:sz="0" w:space="0" w:color="auto"/>
        <w:left w:val="none" w:sz="0" w:space="0" w:color="auto"/>
        <w:bottom w:val="none" w:sz="0" w:space="0" w:color="auto"/>
        <w:right w:val="none" w:sz="0" w:space="0" w:color="auto"/>
      </w:divBdr>
    </w:div>
    <w:div w:id="2051762274">
      <w:bodyDiv w:val="1"/>
      <w:marLeft w:val="0"/>
      <w:marRight w:val="0"/>
      <w:marTop w:val="0"/>
      <w:marBottom w:val="0"/>
      <w:divBdr>
        <w:top w:val="none" w:sz="0" w:space="0" w:color="auto"/>
        <w:left w:val="none" w:sz="0" w:space="0" w:color="auto"/>
        <w:bottom w:val="none" w:sz="0" w:space="0" w:color="auto"/>
        <w:right w:val="none" w:sz="0" w:space="0" w:color="auto"/>
      </w:divBdr>
    </w:div>
    <w:div w:id="2056612831">
      <w:bodyDiv w:val="1"/>
      <w:marLeft w:val="0"/>
      <w:marRight w:val="0"/>
      <w:marTop w:val="0"/>
      <w:marBottom w:val="0"/>
      <w:divBdr>
        <w:top w:val="none" w:sz="0" w:space="0" w:color="auto"/>
        <w:left w:val="none" w:sz="0" w:space="0" w:color="auto"/>
        <w:bottom w:val="none" w:sz="0" w:space="0" w:color="auto"/>
        <w:right w:val="none" w:sz="0" w:space="0" w:color="auto"/>
      </w:divBdr>
    </w:div>
    <w:div w:id="212010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 Id="rId22" Type="http://schemas.openxmlformats.org/officeDocument/2006/relationships/image" Target="media/image15.jpe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_rels/header2.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PIN09</b:Tag>
    <b:SourceType>Misc</b:SourceType>
    <b:Guid>{EC2E2BD4-D6F6-442E-86FE-41BD49234088}</b:Guid>
    <b:Author>
      <b:Author>
        <b:NameList>
          <b:Person>
            <b:Last>PINTO</b:Last>
            <b:First>D.</b:First>
            <b:Middle>D.</b:Middle>
          </b:Person>
        </b:NameList>
      </b:Author>
    </b:Author>
    <b:Title>Estratégias de Controle Contra Intermitência Severa na Alimentação de Separadores Offshore.</b:Title>
    <b:Year>2009</b:Year>
    <b:City>Rio de Janeiro</b:City>
    <b:Publisher>Dissertação (Mestrado em Engenharia Química) – Escola de Química, Universidade Federal do Rio de Janeiro</b:Publisher>
    <b:RefOrder>1</b:RefOrder>
  </b:Source>
  <b:Source>
    <b:Tag>DAP15</b:Tag>
    <b:SourceType>Book</b:SourceType>
    <b:Guid>{3354E7F4-EC86-42CE-82D3-7A36F0DC0158}</b:Guid>
    <b:Author>
      <b:Author>
        <b:NameList>
          <b:Person>
            <b:Last>DA PONTE JR</b:Last>
            <b:First>G.P.</b:First>
          </b:Person>
        </b:NameList>
      </b:Author>
    </b:Author>
    <b:Title>Gerenciamento de Riscos na Indústria de Petróleo e Gás</b:Title>
    <b:Year>2015</b:Year>
    <b:City>Rio de Janeiro</b:City>
    <b:Publisher>Elsevier</b:Publisher>
    <b:RefOrder>2</b:RefOrder>
  </b:Source>
  <b:Source>
    <b:Tag>NOL11</b:Tag>
    <b:SourceType>Book</b:SourceType>
    <b:Guid>{4B6FFF88-FAB6-4057-9B05-7B1A6DAD76C8}</b:Guid>
    <b:Title>Handbook of Fire and Explosion Protection Engineering Principles: For Oil, Gas, Chemical and Related Facilities.</b:Title>
    <b:Year>2011</b:Year>
    <b:City>Oxford</b:City>
    <b:Publisher>Elsevier Inc.</b:Publisher>
    <b:Author>
      <b:Author>
        <b:NameList>
          <b:Person>
            <b:Last>NOLAN</b:Last>
            <b:First>D.P.</b:First>
          </b:Person>
        </b:NameList>
      </b:Author>
    </b:Author>
    <b:RefOrder>3</b:RefOrder>
  </b:Source>
  <b:Source>
    <b:Tag>AME01</b:Tag>
    <b:SourceType>Misc</b:SourceType>
    <b:Guid>{66430F9D-927E-4F16-9DA7-4D40284E8E0D}</b:Guid>
    <b:Author>
      <b:Author>
        <b:Corporate>AMERICAN PETROLEUM INSTITUTE (API).</b:Corporate>
      </b:Author>
    </b:Author>
    <b:Title>Recommended Practice 14C, Recommended Practice for Analysis, Design, Installation, and Testing of Basic Surface Safety Systems for Offshore Production Platforms,</b:Title>
    <b:Year>2001</b:Year>
    <b:Edition>seventh ed,</b:Edition>
    <b:RefOrder>4</b:RefOrder>
  </b:Source>
  <b:Source>
    <b:Tag>NOR08</b:Tag>
    <b:SourceType>Misc</b:SourceType>
    <b:Guid>{D894AEBB-68AF-4586-A4E5-B41B6D9FBEF5}</b:Guid>
    <b:Author>
      <b:Author>
        <b:Corporate>NORSOK STANDARD</b:Corporate>
      </b:Author>
    </b:Author>
    <b:Title>S-001. Technical Safety.</b:Title>
    <b:Year>2008</b:Year>
    <b:Edition>Edition 4.</b:Edition>
    <b:RefOrder>5</b:RefOrder>
  </b:Source>
  <b:Source>
    <b:Tag>ASS</b:Tag>
    <b:SourceType>Misc</b:SourceType>
    <b:Guid>{E3A96361-2FEC-4EDE-A945-CD877D1BD6EF}</b:Guid>
    <b:Author>
      <b:Author>
        <b:Corporate>ASSOCIAÇÃO BRASILEIRA DE NORMAS TÉCNICAS (ABNT)</b:Corporate>
      </b:Author>
    </b:Author>
    <b:Title>NBR IEC 60079-29-2: Atmosferas Explosivas. Parte 29.2: Detectores de gases – Seleção, instalação, utilização e manutenção de detectores para gases inflamáveis e oxigênio</b:Title>
    <b:Year>2011</b:Year>
    <b:RefOrder>6</b:RefOrder>
  </b:Source>
  <b:Source>
    <b:Tag>DAV11</b:Tag>
    <b:SourceType>ArticleInAPeriodical</b:SourceType>
    <b:Guid>{BB640D21-7673-44DC-88FF-DC30C396DE5C}</b:Guid>
    <b:Title>Using CFD to Analyze Gas Detector Placement in Process Facilities</b:Title>
    <b:Year>2011</b:Year>
    <b:Author>
      <b:Author>
        <b:NameList>
          <b:Person>
            <b:Last>DAVIS</b:Last>
            <b:First>S</b:First>
          </b:Person>
          <b:Person>
            <b:Last>HANSEN</b:Last>
            <b:First>O.R</b:First>
          </b:Person>
          <b:Person>
            <b:Last>GAVELLI</b:Last>
            <b:First>F</b:First>
          </b:Person>
          <b:Person>
            <b:Last>BRATTETEIG</b:Last>
            <b:First>A.</b:First>
          </b:Person>
        </b:NameList>
      </b:Author>
    </b:Author>
    <b:PeriodicalTitle>Conference: Mary Kay O’Connor Process Safety Center Symposium 2011 At: College Station, Texas, USA. Volume: International Process Safety Symposium,</b:PeriodicalTitle>
    <b:RefOrder>7</b:RefOrder>
  </b:Source>
  <b:Source>
    <b:Tag>ISA03</b:Tag>
    <b:SourceType>Misc</b:SourceType>
    <b:Guid>{E3533FE9-41F0-450E-8A7E-9491948FE924}</b:Guid>
    <b:Title>Recommended Practice for the Installation, Operation, and Maintenance of Combustible Gas Detection Instruments</b:Title>
    <b:Year>2003</b:Year>
    <b:Author>
      <b:Author>
        <b:Corporate>ISA-RP12.13.02-2003</b:Corporate>
      </b:Author>
    </b:Author>
    <b:RefOrder>8</b:RefOrder>
  </b:Source>
  <b:Source>
    <b:Tag>BAS06</b:Tag>
    <b:SourceType>Misc</b:SourceType>
    <b:Guid>{171CA82E-9220-4DD5-864A-A305A6FCA7C5}</b:Guid>
    <b:Title>Comparação de Resultados de Simulação de Dispersão de Gases em Plataformas Marítimas Utilizando CFD e Modelos Empíricos.</b:Title>
    <b:Year>2006</b:Year>
    <b:City>Rio de Janeiro</b:City>
    <b:Author>
      <b:Author>
        <b:NameList>
          <b:Person>
            <b:Last>BASTOS</b:Last>
            <b:First>J.G.R.R.</b:First>
          </b:Person>
        </b:NameList>
      </b:Author>
    </b:Author>
    <b:JournalName>Monografia – COPPE/UFRJ</b:JournalName>
    <b:PublicationTitle>Monografia – COPPE/UFRJ,</b:PublicationTitle>
    <b:RefOrder>9</b:RefOrder>
  </b:Source>
  <b:Source>
    <b:Tag>FLE08</b:Tag>
    <b:SourceType>Misc</b:SourceType>
    <b:Guid>{1DEF1C09-958D-4EB3-BF16-BC516FEB854F}</b:Guid>
    <b:Author>
      <b:Author>
        <b:NameList>
          <b:Person>
            <b:Last>FLECK</b:Last>
            <b:First>A.</b:First>
            <b:Middle>B.</b:Middle>
          </b:Person>
        </b:NameList>
      </b:Author>
    </b:Author>
    <b:Title>Dispersão de Gases Inflamáveis em Plataforma Offshore: Localização de Detectores.</b:Title>
    <b:Year>2008</b:Year>
    <b:Publisher>Dissertação de Mestrado – Universidade Federal do Rio de Janeiro,</b:Publisher>
    <b:RefOrder>10</b:RefOrder>
  </b:Source>
  <b:Source>
    <b:Tag>RAD17</b:Tag>
    <b:SourceType>JournalArticle</b:SourceType>
    <b:Guid>{17FD1C58-2A53-4E4B-B818-2E4553477CC3}</b:Guid>
    <b:Author>
      <b:Author>
        <b:NameList>
          <b:Person>
            <b:Last>RAD</b:Last>
            <b:First>A.</b:First>
          </b:Person>
          <b:Person>
            <b:Last>RASHTCHIAN</b:Last>
            <b:First>D</b:First>
          </b:Person>
          <b:Person>
            <b:Last>BADRI</b:Last>
            <b:First>N.</b:First>
          </b:Person>
        </b:NameList>
      </b:Author>
    </b:Author>
    <b:Title>A risk-based methodology for optimum placement of flammable gas detectors within open process plants</b:Title>
    <b:Year>2017</b:Year>
    <b:JournalName>Process Safety and Environmental Protection</b:JournalName>
    <b:Pages>175-183</b:Pages>
    <b:Volume>105</b:Volume>
    <b:RefOrder>11</b:RefOrder>
  </b:Source>
  <b:Source>
    <b:Tag>GOM14</b:Tag>
    <b:SourceType>JournalArticle</b:SourceType>
    <b:Guid>{161D3A5A-66E2-4467-AA74-87ED3D1DBE40}</b:Guid>
    <b:Author>
      <b:Author>
        <b:NameList>
          <b:Person>
            <b:Last>GOMES</b:Last>
            <b:First>E.</b:First>
            <b:Middle>G.</b:Middle>
          </b:Person>
          <b:Person>
            <b:Last>MEDRONHO</b:Last>
            <b:First>R.</b:First>
            <b:Middle>A.</b:Middle>
          </b:Person>
          <b:Person>
            <b:Last>ALVES</b:Last>
            <b:First>J.</b:First>
            <b:Middle>V. B.</b:Middle>
          </b:Person>
        </b:NameList>
      </b:Author>
    </b:Author>
    <b:Title>Gas Detector Placement in Petroleum Process Unit Using Computational Fluid Dynamics</b:Title>
    <b:JournalName>International Journal of Modeling and Simulation for the Petroleum Industry (Online)</b:JournalName>
    <b:Year>2014</b:Year>
    <b:Pages>17-24</b:Pages>
    <b:Volume>8</b:Volume>
    <b:RefOrder>13</b:RefOrder>
  </b:Source>
  <b:Source>
    <b:Tag>VÁZ16</b:Tag>
    <b:SourceType>JournalArticle</b:SourceType>
    <b:Guid>{43A2E125-575D-4B9D-B486-19580B165DF4}</b:Guid>
    <b:Author>
      <b:Author>
        <b:NameList>
          <b:Person>
            <b:Last>VÁZQUEZ-ROMÁN</b:Last>
            <b:First>R.</b:First>
            <b:Middle>et al.</b:Middle>
          </b:Person>
        </b:NameList>
      </b:Author>
    </b:Author>
    <b:Title>A CFD-based approach for gas detectors allocation</b:Title>
    <b:JournalName>Journal of Loss Prevention in the Process Industries</b:JournalName>
    <b:Year>2016</b:Year>
    <b:Pages>633–641</b:Pages>
    <b:Volume>44</b:Volume>
    <b:RefOrder>14</b:RefOrder>
  </b:Source>
  <b:Source>
    <b:Tag>CEN18</b:Tag>
    <b:SourceType>JournalArticle</b:SourceType>
    <b:Guid>{87F73DE9-E44A-4D7A-980A-15D1180B9B82}</b:Guid>
    <b:Author>
      <b:Author>
        <b:NameList>
          <b:Person>
            <b:Last>CEN</b:Last>
            <b:First>K.</b:First>
            <b:Middle>et al.</b:Middle>
          </b:Person>
        </b:NameList>
      </b:Author>
    </b:Author>
    <b:Title>A risk-based methodology for the optimal placement of hazardous gas detectors</b:Title>
    <b:JournalName>Chinese Journal of Chemical Engineering</b:JournalName>
    <b:Year>2018</b:Year>
    <b:Pages>1078–1086</b:Pages>
    <b:Volume>26</b:Volume>
    <b:Issue>5</b:Issue>
    <b:RefOrder>15</b:RefOrder>
  </b:Source>
  <b:Source>
    <b:Tag>HEA02</b:Tag>
    <b:SourceType>Misc</b:SourceType>
    <b:Guid>{44AF16B5-E5E1-4321-9EC4-08F0FCC0DB34}</b:Guid>
    <b:Author>
      <b:Author>
        <b:Corporate>HEALTH &amp; SAFETY EXECUTIVE (HSE).</b:Corporate>
      </b:Author>
    </b:Author>
    <b:Title>Offshore Hydrocarbon Releases Statistics. Hid Statistics Report HSR 2001 002</b:Title>
    <b:Year>2002</b:Year>
    <b:RefOrder>16</b:RefOrder>
  </b:Source>
  <b:Source>
    <b:Tag>DNV13</b:Tag>
    <b:SourceType>Misc</b:SourceType>
    <b:Guid>{DBE4795E-A605-4A2E-8794-6AADBDBCDBAF}</b:Guid>
    <b:Author>
      <b:Author>
        <b:Corporate>DNV</b:Corporate>
      </b:Author>
    </b:Author>
    <b:Title>Failure Frequency Guidance: Process Equipment Leak Frequency Data for Use in QRA</b:Title>
    <b:Year>2013</b:Year>
    <b:RefOrder>17</b:RefOrder>
  </b:Source>
  <b:Source>
    <b:Tag>TNO15</b:Tag>
    <b:SourceType>Misc</b:SourceType>
    <b:Guid>{4A3269E3-E20D-42C1-9444-7403E468C477}</b:Guid>
    <b:Author>
      <b:Author>
        <b:Corporate>TNO</b:Corporate>
      </b:Author>
    </b:Author>
    <b:Title>Guidelines for Quantitative Risk Assessment: (Purple Book). CPR18E</b:Title>
    <b:Year>2015</b:Year>
    <b:Publisher>3a Edição</b:Publisher>
    <b:RefOrder>18</b:RefOrder>
  </b:Source>
  <b:Source>
    <b:Tag>Joã18</b:Tag>
    <b:SourceType>Misc</b:SourceType>
    <b:Guid>{504581F2-90A8-4080-8E52-2D8FD817180F}</b:Guid>
    <b:Author>
      <b:Author>
        <b:NameList>
          <b:Person>
            <b:Last>Barcelos</b:Last>
            <b:First>João</b:First>
            <b:Middle>Phelipe Martins</b:Middle>
          </b:Person>
        </b:NameList>
      </b:Author>
    </b:Author>
    <b:Title>Comparação de Simulações CFD em Regimes Estacionário e Transiente para Alocação de Sensores de Gases Inflamáveis em Unidade de Processamento de Petróleo Offshore</b:Title>
    <b:Year>2018</b:Year>
    <b:City>Dissertação (Mestrado em Tecnologia de Processos Químicos e Bioquímicos) - Universidade Federal do Rio de Janeiro, . Coorientador: Ricardo de Andrade Medronho</b:City>
    <b:RefOrder>20</b:RefOrder>
  </b:Source>
  <b:Source>
    <b:Tag>Edu12</b:Tag>
    <b:SourceType>Misc</b:SourceType>
    <b:Guid>{913F83EF-FD09-4685-ACB7-433ADFE98FC2}</b:Guid>
    <b:Author>
      <b:Author>
        <b:NameList>
          <b:Person>
            <b:Last>Gomes</b:Last>
            <b:First>Eduardo</b:First>
            <b:Middle>Guedes</b:Middle>
          </b:Person>
        </b:NameList>
      </b:Author>
    </b:Author>
    <b:Title>Dispersão de Gases Tóxicos</b:Title>
    <b:Year>2012</b:Year>
    <b:City>Dissertação (Mestrado em Tecnologia dos Processos Químicos e Bioquímicos) - Universidade Federal do Rio de Janeiro, . Orientador: Ricardo de Andrade Medronho. </b:City>
    <b:RefOrder>19</b:RefOrder>
  </b:Source>
  <b:Source>
    <b:Tag>Pet</b:Tag>
    <b:SourceType>Report</b:SourceType>
    <b:Guid>{6BD4B707-65B7-4E2A-9EEB-6B2950F75ABC}</b:Guid>
    <b:Title>PE – 2IND – 00177</b:Title>
    <b:Author>
      <b:Author>
        <b:Corporate>Petrobras</b:Corporate>
      </b:Author>
    </b:Author>
    <b:RefOrder>12</b:RefOrder>
  </b:Source>
</b:Sources>
</file>

<file path=customXml/itemProps1.xml><?xml version="1.0" encoding="utf-8"?>
<ds:datastoreItem xmlns:ds="http://schemas.openxmlformats.org/officeDocument/2006/customXml" ds:itemID="{9BA6CE3F-EE6C-4E91-A29B-8948FC7DC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3763</Words>
  <Characters>20325</Characters>
  <Application>Microsoft Office Word</Application>
  <DocSecurity>4</DocSecurity>
  <Lines>169</Lines>
  <Paragraphs>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Petrobras</Company>
  <LinksUpToDate>false</LinksUpToDate>
  <CharactersWithSpaces>24040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REanto</dc:creator>
  <cp:lastModifiedBy>LuizC</cp:lastModifiedBy>
  <cp:revision>2</cp:revision>
  <cp:lastPrinted>2019-10-28T01:33:00Z</cp:lastPrinted>
  <dcterms:created xsi:type="dcterms:W3CDTF">2019-12-30T01:20:00Z</dcterms:created>
  <dcterms:modified xsi:type="dcterms:W3CDTF">2019-12-30T01:20:00Z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e61996e-cafd-4c9a-8a94-2dc1b82131ae_Enabled">
    <vt:lpwstr>True</vt:lpwstr>
  </property>
  <property fmtid="{D5CDD505-2E9C-101B-9397-08002B2CF9AE}" pid="3" name="MSIP_Label_8e61996e-cafd-4c9a-8a94-2dc1b82131ae_SiteId">
    <vt:lpwstr>5b6f6241-9a57-4be4-8e50-1dfa72e79a57</vt:lpwstr>
  </property>
  <property fmtid="{D5CDD505-2E9C-101B-9397-08002B2CF9AE}" pid="4" name="MSIP_Label_8e61996e-cafd-4c9a-8a94-2dc1b82131ae_Owner">
    <vt:lpwstr>renatomendes@petrobras.com.br</vt:lpwstr>
  </property>
  <property fmtid="{D5CDD505-2E9C-101B-9397-08002B2CF9AE}" pid="5" name="MSIP_Label_8e61996e-cafd-4c9a-8a94-2dc1b82131ae_SetDate">
    <vt:lpwstr>2019-09-23T18:10:39.4662329Z</vt:lpwstr>
  </property>
  <property fmtid="{D5CDD505-2E9C-101B-9397-08002B2CF9AE}" pid="6" name="MSIP_Label_8e61996e-cafd-4c9a-8a94-2dc1b82131ae_Name">
    <vt:lpwstr>NP-1</vt:lpwstr>
  </property>
  <property fmtid="{D5CDD505-2E9C-101B-9397-08002B2CF9AE}" pid="7" name="MSIP_Label_8e61996e-cafd-4c9a-8a94-2dc1b82131ae_Application">
    <vt:lpwstr>Microsoft Azure Information Protection</vt:lpwstr>
  </property>
  <property fmtid="{D5CDD505-2E9C-101B-9397-08002B2CF9AE}" pid="8" name="MSIP_Label_8e61996e-cafd-4c9a-8a94-2dc1b82131ae_ActionId">
    <vt:lpwstr>44164cd0-7eb4-4119-96a0-b012416556ff</vt:lpwstr>
  </property>
  <property fmtid="{D5CDD505-2E9C-101B-9397-08002B2CF9AE}" pid="9" name="MSIP_Label_8e61996e-cafd-4c9a-8a94-2dc1b82131ae_Extended_MSFT_Method">
    <vt:lpwstr>Automatic</vt:lpwstr>
  </property>
  <property fmtid="{D5CDD505-2E9C-101B-9397-08002B2CF9AE}" pid="10" name="Sensitivity">
    <vt:lpwstr>NP-1</vt:lpwstr>
  </property>
</Properties>
</file>