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572985" w:rsidRDefault="00572985" w:rsidP="005465EB">
      <w:pPr>
        <w:spacing w:line="276" w:lineRule="auto"/>
        <w:jc w:val="center"/>
        <w:rPr>
          <w:rFonts w:ascii="Times New Roman" w:hAnsi="Times New Roman" w:cs="Times New Roman"/>
          <w:b/>
          <w:sz w:val="24"/>
          <w:szCs w:val="24"/>
        </w:rPr>
      </w:pPr>
      <w:r w:rsidRPr="00572985">
        <w:rPr>
          <w:rFonts w:ascii="Times New Roman" w:hAnsi="Times New Roman" w:cs="Times New Roman"/>
          <w:b/>
          <w:sz w:val="24"/>
          <w:szCs w:val="24"/>
        </w:rPr>
        <w:t>Análise de Legislações Não-Determinísticas do Setor de Óleo e Gás à Luz da Teoria da Cognição Social</w:t>
      </w:r>
    </w:p>
    <w:p w:rsidR="00777111" w:rsidRDefault="00777111" w:rsidP="005465EB">
      <w:pPr>
        <w:spacing w:line="276" w:lineRule="auto"/>
        <w:jc w:val="center"/>
        <w:rPr>
          <w:rFonts w:ascii="Times New Roman" w:hAnsi="Times New Roman" w:cs="Times New Roman"/>
          <w:szCs w:val="24"/>
        </w:rPr>
      </w:pPr>
      <w:r>
        <w:rPr>
          <w:rFonts w:ascii="Times New Roman" w:hAnsi="Times New Roman" w:cs="Times New Roman"/>
          <w:szCs w:val="24"/>
        </w:rPr>
        <w:t>Carlos</w:t>
      </w:r>
      <w:r w:rsidR="002B1C67">
        <w:rPr>
          <w:rFonts w:ascii="Times New Roman" w:hAnsi="Times New Roman" w:cs="Times New Roman"/>
          <w:szCs w:val="24"/>
        </w:rPr>
        <w:t xml:space="preserve"> Henrique Bittencourt</w:t>
      </w:r>
      <w:r>
        <w:rPr>
          <w:rFonts w:ascii="Times New Roman" w:hAnsi="Times New Roman" w:cs="Times New Roman"/>
          <w:szCs w:val="24"/>
        </w:rPr>
        <w:t xml:space="preserve"> Morais</w:t>
      </w:r>
      <w:r w:rsidR="00D30605">
        <w:rPr>
          <w:rFonts w:ascii="Times New Roman" w:hAnsi="Times New Roman" w:cs="Times New Roman"/>
          <w:szCs w:val="24"/>
        </w:rPr>
        <w:t xml:space="preserve">, </w:t>
      </w:r>
      <w:r w:rsidR="00572985">
        <w:rPr>
          <w:rFonts w:ascii="Times New Roman" w:hAnsi="Times New Roman" w:cs="Times New Roman"/>
          <w:szCs w:val="24"/>
        </w:rPr>
        <w:t xml:space="preserve">Marcos C. </w:t>
      </w:r>
      <w:proofErr w:type="spellStart"/>
      <w:r w:rsidR="00572985">
        <w:rPr>
          <w:rFonts w:ascii="Times New Roman" w:hAnsi="Times New Roman" w:cs="Times New Roman"/>
          <w:szCs w:val="24"/>
        </w:rPr>
        <w:t>Maturana</w:t>
      </w:r>
      <w:proofErr w:type="spellEnd"/>
      <w:r w:rsidR="00572985">
        <w:rPr>
          <w:rFonts w:ascii="Times New Roman" w:hAnsi="Times New Roman" w:cs="Times New Roman"/>
          <w:szCs w:val="24"/>
        </w:rPr>
        <w:t xml:space="preserve">, Joaquim Rocha dos Santos, </w:t>
      </w:r>
      <w:r w:rsidR="00D228EE">
        <w:rPr>
          <w:rFonts w:ascii="Times New Roman" w:hAnsi="Times New Roman" w:cs="Times New Roman"/>
          <w:szCs w:val="24"/>
        </w:rPr>
        <w:t xml:space="preserve">Prof. Dr. </w:t>
      </w:r>
      <w:r w:rsidR="00D30605">
        <w:rPr>
          <w:rFonts w:ascii="Times New Roman" w:hAnsi="Times New Roman" w:cs="Times New Roman"/>
          <w:szCs w:val="24"/>
        </w:rPr>
        <w:t xml:space="preserve">Marcelo </w:t>
      </w:r>
      <w:r w:rsidR="002B1C67">
        <w:rPr>
          <w:rFonts w:ascii="Times New Roman" w:hAnsi="Times New Roman" w:cs="Times New Roman"/>
          <w:szCs w:val="24"/>
        </w:rPr>
        <w:t xml:space="preserve">Ramos </w:t>
      </w:r>
      <w:r w:rsidR="00D30605">
        <w:rPr>
          <w:rFonts w:ascii="Times New Roman" w:hAnsi="Times New Roman" w:cs="Times New Roman"/>
          <w:szCs w:val="24"/>
        </w:rPr>
        <w:t>Martins</w:t>
      </w:r>
    </w:p>
    <w:p w:rsidR="00777111"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 xml:space="preserve">LabRisco - </w:t>
      </w:r>
      <w:r w:rsidR="00777111" w:rsidRPr="00777111">
        <w:rPr>
          <w:rFonts w:ascii="Times New Roman" w:hAnsi="Times New Roman" w:cs="Times New Roman"/>
          <w:szCs w:val="24"/>
        </w:rPr>
        <w:t>Laboratório de Análise, Avaliação e Gerenciamento de Risco</w:t>
      </w:r>
    </w:p>
    <w:p w:rsidR="00572985" w:rsidRDefault="00572985" w:rsidP="005465EB">
      <w:pPr>
        <w:spacing w:line="276" w:lineRule="auto"/>
        <w:jc w:val="center"/>
        <w:rPr>
          <w:rFonts w:ascii="Times New Roman" w:hAnsi="Times New Roman" w:cs="Times New Roman"/>
          <w:szCs w:val="24"/>
        </w:rPr>
      </w:pPr>
      <w:proofErr w:type="spellStart"/>
      <w:r>
        <w:rPr>
          <w:rFonts w:ascii="Times New Roman" w:hAnsi="Times New Roman" w:cs="Times New Roman"/>
          <w:szCs w:val="24"/>
        </w:rPr>
        <w:t>Ulrico</w:t>
      </w:r>
      <w:proofErr w:type="spellEnd"/>
      <w:r>
        <w:rPr>
          <w:rFonts w:ascii="Times New Roman" w:hAnsi="Times New Roman" w:cs="Times New Roman"/>
          <w:szCs w:val="24"/>
        </w:rPr>
        <w:t xml:space="preserve"> </w:t>
      </w:r>
      <w:proofErr w:type="spellStart"/>
      <w:r>
        <w:rPr>
          <w:rFonts w:ascii="Times New Roman" w:hAnsi="Times New Roman" w:cs="Times New Roman"/>
          <w:szCs w:val="24"/>
        </w:rPr>
        <w:t>Barini</w:t>
      </w:r>
      <w:proofErr w:type="spellEnd"/>
    </w:p>
    <w:p w:rsidR="00572985" w:rsidRDefault="00572985" w:rsidP="005465EB">
      <w:pPr>
        <w:spacing w:line="276" w:lineRule="auto"/>
        <w:jc w:val="center"/>
        <w:rPr>
          <w:rFonts w:ascii="Times New Roman" w:hAnsi="Times New Roman" w:cs="Times New Roman"/>
          <w:szCs w:val="24"/>
        </w:rPr>
      </w:pPr>
      <w:r>
        <w:rPr>
          <w:rFonts w:ascii="Times New Roman" w:hAnsi="Times New Roman" w:cs="Times New Roman"/>
          <w:szCs w:val="24"/>
        </w:rPr>
        <w:t>Consultor independente em RH</w:t>
      </w:r>
    </w:p>
    <w:p w:rsidR="005465EB" w:rsidRDefault="00A4639B" w:rsidP="005465EB">
      <w:pPr>
        <w:spacing w:line="276" w:lineRule="auto"/>
        <w:jc w:val="center"/>
        <w:rPr>
          <w:rFonts w:ascii="Times New Roman" w:hAnsi="Times New Roman" w:cs="Times New Roman"/>
          <w:szCs w:val="24"/>
        </w:rPr>
      </w:pPr>
      <w:r>
        <w:rPr>
          <w:rFonts w:ascii="Times New Roman" w:hAnsi="Times New Roman" w:cs="Times New Roman"/>
          <w:szCs w:val="24"/>
        </w:rPr>
        <w:t>Escola Politécnica da Universidade de São Paulo – Departamento de Engenharia Naval e Oceânica</w:t>
      </w:r>
    </w:p>
    <w:p w:rsidR="006D28BF" w:rsidRPr="00572985" w:rsidRDefault="00572985" w:rsidP="005465EB">
      <w:pPr>
        <w:spacing w:line="276" w:lineRule="auto"/>
        <w:jc w:val="center"/>
        <w:rPr>
          <w:rFonts w:ascii="Times New Roman" w:hAnsi="Times New Roman" w:cs="Times New Roman"/>
          <w:szCs w:val="24"/>
        </w:rPr>
      </w:pPr>
      <w:r>
        <w:rPr>
          <w:rFonts w:ascii="Times New Roman" w:hAnsi="Times New Roman" w:cs="Times New Roman"/>
          <w:szCs w:val="24"/>
        </w:rPr>
        <w:t>Danilo Colombo</w:t>
      </w:r>
    </w:p>
    <w:p w:rsidR="006D28BF" w:rsidRDefault="00572985" w:rsidP="005465EB">
      <w:pPr>
        <w:spacing w:line="276" w:lineRule="auto"/>
        <w:jc w:val="center"/>
        <w:rPr>
          <w:rFonts w:ascii="Times New Roman" w:hAnsi="Times New Roman" w:cs="Times New Roman"/>
          <w:szCs w:val="24"/>
        </w:rPr>
      </w:pPr>
      <w:r>
        <w:rPr>
          <w:rFonts w:ascii="Times New Roman" w:hAnsi="Times New Roman" w:cs="Times New Roman"/>
          <w:szCs w:val="24"/>
        </w:rPr>
        <w:t>PETROBRAS, CENPES</w:t>
      </w:r>
    </w:p>
    <w:p w:rsidR="006311E0" w:rsidRPr="00A4639B" w:rsidRDefault="00541FAF" w:rsidP="00A42046">
      <w:pPr>
        <w:pStyle w:val="Ttulo1"/>
      </w:pPr>
      <w:r w:rsidRPr="00A4639B">
        <w:t>ABSTRACT</w:t>
      </w:r>
    </w:p>
    <w:p w:rsidR="00D162E0" w:rsidRDefault="00D27B25" w:rsidP="005465EB">
      <w:pPr>
        <w:spacing w:line="276" w:lineRule="auto"/>
        <w:jc w:val="both"/>
        <w:rPr>
          <w:rFonts w:ascii="Times New Roman" w:hAnsi="Times New Roman" w:cs="Times New Roman"/>
          <w:color w:val="1C1C1C"/>
        </w:rPr>
      </w:pPr>
      <w:r w:rsidRPr="00D27B25">
        <w:rPr>
          <w:rFonts w:ascii="Times New Roman" w:hAnsi="Times New Roman" w:cs="Times New Roman"/>
          <w:color w:val="1C1C1C"/>
        </w:rPr>
        <w:t xml:space="preserve">Ao estabelecer o Regime de Segurança Operacional para Integridade de Poços de Petróleo e Gás Natural e, ao mesmo tempo, aprovar o Regulamento Técnico do Sistema de Gerenciamento da Integridade de Poços (SGIP), a Resolução 46/2016 da ANP (Agência Nacional do Petróleo, Gás Natural e Biocombustíveis) ensejou de forma definitiva a abordagem não-determinística sobre todas as etapas correlatas ao Ciclo de Vida de Poços de Petróleo operados em águas brasileiras, as quais, segundo a própria Resolução, dizem respeito ao Projeto, Construção, Operação, Intervenção e Abandono, permanente ou temporário, dos mesmos. Essa iniciativa encontra paralelos em diferentes âmbitos internacionais (regulamentações, padrões técnicos, etc.), dentro os quais destacam-se os </w:t>
      </w:r>
      <w:proofErr w:type="spellStart"/>
      <w:r w:rsidRPr="00264671">
        <w:rPr>
          <w:rFonts w:ascii="Times New Roman" w:hAnsi="Times New Roman" w:cs="Times New Roman"/>
          <w:i/>
          <w:color w:val="1C1C1C"/>
        </w:rPr>
        <w:t>Safety</w:t>
      </w:r>
      <w:proofErr w:type="spellEnd"/>
      <w:r w:rsidRPr="00264671">
        <w:rPr>
          <w:rFonts w:ascii="Times New Roman" w:hAnsi="Times New Roman" w:cs="Times New Roman"/>
          <w:i/>
          <w:color w:val="1C1C1C"/>
        </w:rPr>
        <w:t xml:space="preserve"> Cases</w:t>
      </w:r>
      <w:r w:rsidRPr="00D27B25">
        <w:rPr>
          <w:rFonts w:ascii="Times New Roman" w:hAnsi="Times New Roman" w:cs="Times New Roman"/>
          <w:color w:val="1C1C1C"/>
        </w:rPr>
        <w:t xml:space="preserve"> estabelecidos pela Legislação Britânica e a NORSOK D-010, o primeiro por pertencer ao conjunto jurídico que em 1974, de forma seminal, introduziu o emprego de metodologias não-determinísticas na regulamentação de atividades industriais e pelas analogias, semelhanças e contraposições que guarda frente às Práticas de Gestão aprovadas na Resolução 46; o último por tratar-se de uma das normas internacionais mais influentes no segmento e que emprega conceitos probabilísticos em várias das diretrizes e procedimentos nela delineadas . </w:t>
      </w:r>
      <w:r w:rsidR="0008404E">
        <w:rPr>
          <w:rFonts w:ascii="Times New Roman" w:hAnsi="Times New Roman" w:cs="Times New Roman"/>
          <w:color w:val="1C1C1C"/>
        </w:rPr>
        <w:t xml:space="preserve">Tendo em vista que </w:t>
      </w:r>
      <w:r w:rsidR="0008404E" w:rsidRPr="0008404E">
        <w:rPr>
          <w:rFonts w:ascii="Times New Roman" w:hAnsi="Times New Roman" w:cs="Times New Roman"/>
          <w:color w:val="1C1C1C"/>
        </w:rPr>
        <w:t>as abordagens determinísticas não t</w:t>
      </w:r>
      <w:r w:rsidR="0008404E">
        <w:rPr>
          <w:rFonts w:ascii="Times New Roman" w:hAnsi="Times New Roman" w:cs="Times New Roman"/>
          <w:color w:val="1C1C1C"/>
        </w:rPr>
        <w:t>ê</w:t>
      </w:r>
      <w:r w:rsidR="0008404E" w:rsidRPr="0008404E">
        <w:rPr>
          <w:rFonts w:ascii="Times New Roman" w:hAnsi="Times New Roman" w:cs="Times New Roman"/>
          <w:color w:val="1C1C1C"/>
        </w:rPr>
        <w:t>m sido suficientes para predição absoluta e controle de riscos operacionais, especialmente em cenários de alta exigência comportamental</w:t>
      </w:r>
      <w:r w:rsidR="0008404E">
        <w:rPr>
          <w:rFonts w:ascii="Times New Roman" w:hAnsi="Times New Roman" w:cs="Times New Roman"/>
          <w:color w:val="1C1C1C"/>
        </w:rPr>
        <w:t xml:space="preserve">, como é o caso da indústria offshore, </w:t>
      </w:r>
      <w:r w:rsidRPr="00D27B25">
        <w:rPr>
          <w:rFonts w:ascii="Times New Roman" w:hAnsi="Times New Roman" w:cs="Times New Roman"/>
          <w:color w:val="1C1C1C"/>
        </w:rPr>
        <w:t>o presente trabalho busca estabelecer uma abordagem</w:t>
      </w:r>
      <w:r w:rsidR="0008404E">
        <w:rPr>
          <w:rFonts w:ascii="Times New Roman" w:hAnsi="Times New Roman" w:cs="Times New Roman"/>
          <w:color w:val="1C1C1C"/>
        </w:rPr>
        <w:t xml:space="preserve"> baseada na </w:t>
      </w:r>
      <w:r w:rsidR="0008404E" w:rsidRPr="00D27B25">
        <w:rPr>
          <w:rFonts w:ascii="Times New Roman" w:hAnsi="Times New Roman" w:cs="Times New Roman"/>
          <w:color w:val="1C1C1C"/>
        </w:rPr>
        <w:t xml:space="preserve">Teoria da Cognição Social (ou SCT, </w:t>
      </w:r>
      <w:r w:rsidR="0008404E" w:rsidRPr="00264671">
        <w:rPr>
          <w:rFonts w:ascii="Times New Roman" w:hAnsi="Times New Roman" w:cs="Times New Roman"/>
          <w:i/>
          <w:color w:val="1C1C1C"/>
        </w:rPr>
        <w:t xml:space="preserve">Social </w:t>
      </w:r>
      <w:proofErr w:type="spellStart"/>
      <w:r w:rsidR="0008404E" w:rsidRPr="00264671">
        <w:rPr>
          <w:rFonts w:ascii="Times New Roman" w:hAnsi="Times New Roman" w:cs="Times New Roman"/>
          <w:i/>
          <w:color w:val="1C1C1C"/>
        </w:rPr>
        <w:t>CognitionTheory</w:t>
      </w:r>
      <w:proofErr w:type="spellEnd"/>
      <w:r w:rsidR="0008404E" w:rsidRPr="00D27B25">
        <w:rPr>
          <w:rFonts w:ascii="Times New Roman" w:hAnsi="Times New Roman" w:cs="Times New Roman"/>
          <w:color w:val="1C1C1C"/>
        </w:rPr>
        <w:t xml:space="preserve">) </w:t>
      </w:r>
      <w:r w:rsidRPr="00D27B25">
        <w:rPr>
          <w:rFonts w:ascii="Times New Roman" w:hAnsi="Times New Roman" w:cs="Times New Roman"/>
          <w:color w:val="1C1C1C"/>
        </w:rPr>
        <w:t>capaz de capturar e explicitar de forma objetiva as diversas facetas técnicas e culturais presentes em legislações filosoficamente alinhadas e sustentadas pelas abordagens probabilísticas. Por fim, são sumarizados os últimos dados históricos de acidentes ocorridos na indústria de óleo e gás brasileira, britânica e norte-americano, os quais servirão como proxy para uma análise, dentro do contexto do SCT, da maior ou menor contribuição à uma cultura de segurança decorrente da adoção de legislações determinísticas ou não-determinísticas</w:t>
      </w:r>
      <w:r w:rsidR="00777111" w:rsidRPr="00777111">
        <w:rPr>
          <w:rFonts w:ascii="Times New Roman" w:hAnsi="Times New Roman" w:cs="Times New Roman"/>
          <w:color w:val="1C1C1C"/>
        </w:rPr>
        <w:t>.</w:t>
      </w:r>
    </w:p>
    <w:p w:rsidR="00D162E0" w:rsidRDefault="0097336A" w:rsidP="00A42046">
      <w:pPr>
        <w:pStyle w:val="Ttulo1"/>
        <w:numPr>
          <w:ilvl w:val="0"/>
          <w:numId w:val="16"/>
        </w:numPr>
      </w:pPr>
      <w:r>
        <w:t>INTRODUÇÃO</w:t>
      </w:r>
    </w:p>
    <w:p w:rsidR="002009D5" w:rsidRDefault="005E36F4" w:rsidP="005E36F4">
      <w:pPr>
        <w:jc w:val="both"/>
        <w:rPr>
          <w:rFonts w:ascii="Times New Roman" w:hAnsi="Times New Roman" w:cs="Times New Roman"/>
          <w:color w:val="1C1C1C"/>
          <w:szCs w:val="24"/>
        </w:rPr>
      </w:pPr>
      <w:r w:rsidRPr="00C27B36">
        <w:rPr>
          <w:rFonts w:ascii="Times New Roman" w:hAnsi="Times New Roman" w:cs="Times New Roman"/>
          <w:color w:val="1C1C1C"/>
          <w:szCs w:val="24"/>
        </w:rPr>
        <w:t>O primeiro registro d</w:t>
      </w:r>
      <w:r w:rsidR="00C27B36" w:rsidRPr="00C27B36">
        <w:rPr>
          <w:rFonts w:ascii="Times New Roman" w:hAnsi="Times New Roman" w:cs="Times New Roman"/>
          <w:color w:val="1C1C1C"/>
          <w:szCs w:val="24"/>
        </w:rPr>
        <w:t xml:space="preserve">o emprego formal de </w:t>
      </w:r>
      <w:r w:rsidR="00C27B36">
        <w:rPr>
          <w:rFonts w:ascii="Times New Roman" w:hAnsi="Times New Roman" w:cs="Times New Roman"/>
          <w:color w:val="1C1C1C"/>
          <w:szCs w:val="24"/>
        </w:rPr>
        <w:t>diretrizes</w:t>
      </w:r>
      <w:r w:rsidR="00C27B36" w:rsidRPr="00C27B36">
        <w:rPr>
          <w:rFonts w:ascii="Times New Roman" w:hAnsi="Times New Roman" w:cs="Times New Roman"/>
          <w:color w:val="1C1C1C"/>
          <w:szCs w:val="24"/>
        </w:rPr>
        <w:t xml:space="preserve"> não-determinístic</w:t>
      </w:r>
      <w:r w:rsidR="00C27B36">
        <w:rPr>
          <w:rFonts w:ascii="Times New Roman" w:hAnsi="Times New Roman" w:cs="Times New Roman"/>
          <w:color w:val="1C1C1C"/>
          <w:szCs w:val="24"/>
        </w:rPr>
        <w:t>a</w:t>
      </w:r>
      <w:r w:rsidR="00C27B36" w:rsidRPr="00C27B36">
        <w:rPr>
          <w:rFonts w:ascii="Times New Roman" w:hAnsi="Times New Roman" w:cs="Times New Roman"/>
          <w:color w:val="1C1C1C"/>
          <w:szCs w:val="24"/>
        </w:rPr>
        <w:t>s em l</w:t>
      </w:r>
      <w:r w:rsidR="00C27B36">
        <w:rPr>
          <w:rFonts w:ascii="Times New Roman" w:hAnsi="Times New Roman" w:cs="Times New Roman"/>
          <w:color w:val="1C1C1C"/>
          <w:szCs w:val="24"/>
        </w:rPr>
        <w:t xml:space="preserve">egislações trabalhistas remonta ao </w:t>
      </w:r>
      <w:r w:rsidR="00C27B36" w:rsidRPr="00C27B36">
        <w:rPr>
          <w:rFonts w:ascii="Times New Roman" w:hAnsi="Times New Roman" w:cs="Times New Roman"/>
          <w:color w:val="1C1C1C"/>
          <w:szCs w:val="24"/>
        </w:rPr>
        <w:t>“</w:t>
      </w:r>
      <w:proofErr w:type="spellStart"/>
      <w:r w:rsidR="00C27B36" w:rsidRPr="00C27B36">
        <w:rPr>
          <w:rFonts w:ascii="Times New Roman" w:hAnsi="Times New Roman" w:cs="Times New Roman"/>
          <w:color w:val="1C1C1C"/>
          <w:szCs w:val="24"/>
        </w:rPr>
        <w:t>The</w:t>
      </w:r>
      <w:proofErr w:type="spellEnd"/>
      <w:r w:rsidR="00C27B36" w:rsidRPr="00C27B36">
        <w:rPr>
          <w:rFonts w:ascii="Times New Roman" w:hAnsi="Times New Roman" w:cs="Times New Roman"/>
          <w:color w:val="1C1C1C"/>
          <w:szCs w:val="24"/>
        </w:rPr>
        <w:t xml:space="preserve"> </w:t>
      </w:r>
      <w:proofErr w:type="spellStart"/>
      <w:r w:rsidR="00C27B36" w:rsidRPr="00C27B36">
        <w:rPr>
          <w:rFonts w:ascii="Times New Roman" w:hAnsi="Times New Roman" w:cs="Times New Roman"/>
          <w:color w:val="1C1C1C"/>
          <w:szCs w:val="24"/>
        </w:rPr>
        <w:t>Health</w:t>
      </w:r>
      <w:proofErr w:type="spellEnd"/>
      <w:r w:rsidR="00C27B36" w:rsidRPr="00C27B36">
        <w:rPr>
          <w:rFonts w:ascii="Times New Roman" w:hAnsi="Times New Roman" w:cs="Times New Roman"/>
          <w:color w:val="1C1C1C"/>
          <w:szCs w:val="24"/>
        </w:rPr>
        <w:t xml:space="preserve"> </w:t>
      </w:r>
      <w:proofErr w:type="spellStart"/>
      <w:r w:rsidR="00C27B36" w:rsidRPr="00C27B36">
        <w:rPr>
          <w:rFonts w:ascii="Times New Roman" w:hAnsi="Times New Roman" w:cs="Times New Roman"/>
          <w:color w:val="1C1C1C"/>
          <w:szCs w:val="24"/>
        </w:rPr>
        <w:t>andSafetyatWork</w:t>
      </w:r>
      <w:proofErr w:type="spellEnd"/>
      <w:r w:rsidR="00C27B36" w:rsidRPr="00C27B36">
        <w:rPr>
          <w:rFonts w:ascii="Times New Roman" w:hAnsi="Times New Roman" w:cs="Times New Roman"/>
          <w:color w:val="1C1C1C"/>
          <w:szCs w:val="24"/>
        </w:rPr>
        <w:t xml:space="preserve"> etc. </w:t>
      </w:r>
      <w:proofErr w:type="spellStart"/>
      <w:r w:rsidR="00C27B36" w:rsidRPr="00375D02">
        <w:rPr>
          <w:rFonts w:ascii="Times New Roman" w:hAnsi="Times New Roman" w:cs="Times New Roman"/>
          <w:color w:val="1C1C1C"/>
          <w:szCs w:val="24"/>
        </w:rPr>
        <w:t>Act</w:t>
      </w:r>
      <w:proofErr w:type="spellEnd"/>
      <w:r w:rsidR="00C27B36" w:rsidRPr="00375D02">
        <w:rPr>
          <w:rFonts w:ascii="Times New Roman" w:hAnsi="Times New Roman" w:cs="Times New Roman"/>
          <w:color w:val="1C1C1C"/>
          <w:szCs w:val="24"/>
        </w:rPr>
        <w:t xml:space="preserve"> 1974” </w:t>
      </w:r>
      <w:r w:rsidR="007D0BCA" w:rsidRPr="005E36F4">
        <w:rPr>
          <w:rFonts w:ascii="Times New Roman" w:hAnsi="Times New Roman" w:cs="Times New Roman"/>
          <w:color w:val="1C1C1C"/>
          <w:szCs w:val="24"/>
        </w:rPr>
        <w:fldChar w:fldCharType="begin" w:fldLock="1"/>
      </w:r>
      <w:r w:rsidR="00C27B36" w:rsidRPr="00375D02">
        <w:rPr>
          <w:rFonts w:ascii="Times New Roman" w:hAnsi="Times New Roman" w:cs="Times New Roman"/>
          <w:color w:val="1C1C1C"/>
          <w:szCs w:val="24"/>
        </w:rPr>
        <w:instrText>ADDIN CSL_CITATION {"citationItems":[{"id":"ITEM-1","itemData":{"DOI":"10.1108/eb022382","ISBN":"9780632060016","ISSN":"0309-0558","PMID":"13116382","abstract":"An Act to make further provision for securing the health, safety and welfare of persons at work, for protecting others against risks to health or safety in connection with the activities of persons at work, for controlling the keeping and use and preventing the unlawful acquisition, possession and use of dangerous substances, and for controlling certain emissions into the atmosphere; to make further provision with respect to the employment medical advisory service; to amend the law relating to building regulations, and the Building (Scotland) Act 1959; and for connected purposes.","author":[{"dropping-particle":"","family":"UK Government","given":"","non-dropping-particle":"","parse-names":false,"suffix":""}],"container-title":"Employment Law and Occupational Health: …","id":"ITEM-1","issued":{"date-parts":[["1974"]]},"page":"121","title":"Health and Safety at Work Act 1974","type":"article-journal"},"uris":["http://www.mendeley.com/documents/?uuid=bb4c3d9c-ae9b-46d0-a32e-395f07e26778"]}],"mendeley":{"formattedCitation":"[1]","plainTextFormattedCitation":"[1]","previouslyFormattedCitation":"[1]"},"properties":{"noteIndex":0},"schema":"https://github.com/citation-style-language/schema/raw/master/csl-citation.json"}</w:instrText>
      </w:r>
      <w:r w:rsidR="007D0BCA" w:rsidRPr="005E36F4">
        <w:rPr>
          <w:rFonts w:ascii="Times New Roman" w:hAnsi="Times New Roman" w:cs="Times New Roman"/>
          <w:color w:val="1C1C1C"/>
          <w:szCs w:val="24"/>
        </w:rPr>
        <w:fldChar w:fldCharType="separate"/>
      </w:r>
      <w:r w:rsidR="00C27B36" w:rsidRPr="00375D02">
        <w:rPr>
          <w:rFonts w:ascii="Times New Roman" w:hAnsi="Times New Roman" w:cs="Times New Roman"/>
          <w:noProof/>
          <w:color w:val="1C1C1C"/>
          <w:szCs w:val="24"/>
        </w:rPr>
        <w:t>[1]</w:t>
      </w:r>
      <w:r w:rsidR="007D0BCA" w:rsidRPr="005E36F4">
        <w:rPr>
          <w:rFonts w:ascii="Times New Roman" w:hAnsi="Times New Roman" w:cs="Times New Roman"/>
          <w:color w:val="1C1C1C"/>
          <w:szCs w:val="24"/>
        </w:rPr>
        <w:fldChar w:fldCharType="end"/>
      </w:r>
      <w:r w:rsidR="00C27B36" w:rsidRPr="00375D02">
        <w:rPr>
          <w:rFonts w:ascii="Times New Roman" w:hAnsi="Times New Roman" w:cs="Times New Roman"/>
          <w:color w:val="1C1C1C"/>
          <w:szCs w:val="24"/>
        </w:rPr>
        <w:t xml:space="preserve"> de 1974. </w:t>
      </w:r>
      <w:r w:rsidR="00C27B36" w:rsidRPr="00C27B36">
        <w:rPr>
          <w:rFonts w:ascii="Times New Roman" w:hAnsi="Times New Roman" w:cs="Times New Roman"/>
          <w:color w:val="1C1C1C"/>
          <w:szCs w:val="24"/>
        </w:rPr>
        <w:t xml:space="preserve">Elaborado pelo </w:t>
      </w:r>
      <w:proofErr w:type="spellStart"/>
      <w:r w:rsidR="00C27B36" w:rsidRPr="00C27B36">
        <w:rPr>
          <w:rFonts w:ascii="Times New Roman" w:hAnsi="Times New Roman" w:cs="Times New Roman"/>
          <w:color w:val="1C1C1C"/>
          <w:szCs w:val="24"/>
        </w:rPr>
        <w:t>British</w:t>
      </w:r>
      <w:proofErr w:type="spellEnd"/>
      <w:r w:rsidR="00C27B36" w:rsidRPr="00C27B36">
        <w:rPr>
          <w:rFonts w:ascii="Times New Roman" w:hAnsi="Times New Roman" w:cs="Times New Roman"/>
          <w:color w:val="1C1C1C"/>
          <w:szCs w:val="24"/>
        </w:rPr>
        <w:t xml:space="preserve"> </w:t>
      </w:r>
      <w:proofErr w:type="spellStart"/>
      <w:r w:rsidR="00C27B36" w:rsidRPr="00C27B36">
        <w:rPr>
          <w:rFonts w:ascii="Times New Roman" w:hAnsi="Times New Roman" w:cs="Times New Roman"/>
          <w:color w:val="1C1C1C"/>
          <w:szCs w:val="24"/>
        </w:rPr>
        <w:t>Health</w:t>
      </w:r>
      <w:proofErr w:type="spellEnd"/>
      <w:r w:rsidR="00C27B36" w:rsidRPr="00C27B36">
        <w:rPr>
          <w:rFonts w:ascii="Times New Roman" w:hAnsi="Times New Roman" w:cs="Times New Roman"/>
          <w:color w:val="1C1C1C"/>
          <w:szCs w:val="24"/>
        </w:rPr>
        <w:t xml:space="preserve"> </w:t>
      </w:r>
      <w:proofErr w:type="spellStart"/>
      <w:r w:rsidR="00C27B36" w:rsidRPr="00C27B36">
        <w:rPr>
          <w:rFonts w:ascii="Times New Roman" w:hAnsi="Times New Roman" w:cs="Times New Roman"/>
          <w:color w:val="1C1C1C"/>
          <w:szCs w:val="24"/>
        </w:rPr>
        <w:t>andSafetyExecutive</w:t>
      </w:r>
      <w:proofErr w:type="spellEnd"/>
      <w:r w:rsidR="00C27B36" w:rsidRPr="00C27B36">
        <w:rPr>
          <w:rFonts w:ascii="Times New Roman" w:hAnsi="Times New Roman" w:cs="Times New Roman"/>
          <w:color w:val="1C1C1C"/>
          <w:szCs w:val="24"/>
        </w:rPr>
        <w:t xml:space="preserve"> (HSE), este documento introduziu divers</w:t>
      </w:r>
      <w:r w:rsidR="00C27B36">
        <w:rPr>
          <w:rFonts w:ascii="Times New Roman" w:hAnsi="Times New Roman" w:cs="Times New Roman"/>
          <w:color w:val="1C1C1C"/>
          <w:szCs w:val="24"/>
        </w:rPr>
        <w:t xml:space="preserve">as definições que, entre outras derivações, deram origem, por exemplo, ao atual conceito de ALARP (As </w:t>
      </w:r>
      <w:proofErr w:type="spellStart"/>
      <w:r w:rsidR="00C27B36">
        <w:rPr>
          <w:rFonts w:ascii="Times New Roman" w:hAnsi="Times New Roman" w:cs="Times New Roman"/>
          <w:color w:val="1C1C1C"/>
          <w:szCs w:val="24"/>
        </w:rPr>
        <w:t>Low</w:t>
      </w:r>
      <w:proofErr w:type="spellEnd"/>
      <w:r w:rsidR="00C27B36">
        <w:rPr>
          <w:rFonts w:ascii="Times New Roman" w:hAnsi="Times New Roman" w:cs="Times New Roman"/>
          <w:color w:val="1C1C1C"/>
          <w:szCs w:val="24"/>
        </w:rPr>
        <w:t xml:space="preserve"> As </w:t>
      </w:r>
      <w:proofErr w:type="spellStart"/>
      <w:r w:rsidR="00C27B36">
        <w:rPr>
          <w:rFonts w:ascii="Times New Roman" w:hAnsi="Times New Roman" w:cs="Times New Roman"/>
          <w:color w:val="1C1C1C"/>
          <w:szCs w:val="24"/>
        </w:rPr>
        <w:t>ReasonablyPracticable</w:t>
      </w:r>
      <w:proofErr w:type="spellEnd"/>
      <w:r w:rsidR="00C27B36">
        <w:rPr>
          <w:rFonts w:ascii="Times New Roman" w:hAnsi="Times New Roman" w:cs="Times New Roman"/>
          <w:color w:val="1C1C1C"/>
          <w:szCs w:val="24"/>
        </w:rPr>
        <w:t xml:space="preserve">) </w:t>
      </w:r>
      <w:r w:rsidR="007D0BCA" w:rsidRPr="005E36F4">
        <w:rPr>
          <w:rFonts w:ascii="Times New Roman" w:hAnsi="Times New Roman" w:cs="Times New Roman"/>
          <w:color w:val="1C1C1C"/>
          <w:szCs w:val="24"/>
        </w:rPr>
        <w:fldChar w:fldCharType="begin" w:fldLock="1"/>
      </w:r>
      <w:r w:rsidR="00C27B36" w:rsidRPr="005E36F4">
        <w:rPr>
          <w:rFonts w:ascii="Times New Roman" w:hAnsi="Times New Roman" w:cs="Times New Roman"/>
          <w:color w:val="1C1C1C"/>
          <w:szCs w:val="24"/>
        </w:rPr>
        <w:instrText>ADDIN CSL_CITATION {"citationItems":[{"id":"ITEM-1","itemData":{"author":[{"dropping-particle":"","family":"Health and Safety Executive (HSE)","given":"","non-dropping-particle":"","parse-names":false,"suffix":""}],"container-title":"398","id":"ITEM-1","issue":"398","issued":{"date-parts":[["2015"]]},"page":"68","title":"The Offshore Installations (Offshore Safety Directive) (Safety Case etc.) Regulations 2015","type":"article-journal","volume":"154"},"uris":["http://www.mendeley.com/documents/?uuid=f60fcf6e-879a-47d1-8371-d484d3812aa2"]}],"mendeley":{"formattedCitation":"[2]","plainTextFormattedCitation":"[2]","previouslyFormattedCitation":"[2]"},"properties":{"noteIndex":0},"schema":"https://github.com/citation-style-language/schema/raw/master/csl-citation.json"}</w:instrText>
      </w:r>
      <w:r w:rsidR="007D0BCA" w:rsidRPr="005E36F4">
        <w:rPr>
          <w:rFonts w:ascii="Times New Roman" w:hAnsi="Times New Roman" w:cs="Times New Roman"/>
          <w:color w:val="1C1C1C"/>
          <w:szCs w:val="24"/>
        </w:rPr>
        <w:fldChar w:fldCharType="separate"/>
      </w:r>
      <w:r w:rsidR="00C27B36" w:rsidRPr="005E36F4">
        <w:rPr>
          <w:rFonts w:ascii="Times New Roman" w:hAnsi="Times New Roman" w:cs="Times New Roman"/>
          <w:noProof/>
          <w:color w:val="1C1C1C"/>
          <w:szCs w:val="24"/>
        </w:rPr>
        <w:t>[2]</w:t>
      </w:r>
      <w:r w:rsidR="007D0BCA" w:rsidRPr="005E36F4">
        <w:rPr>
          <w:rFonts w:ascii="Times New Roman" w:hAnsi="Times New Roman" w:cs="Times New Roman"/>
          <w:color w:val="1C1C1C"/>
          <w:szCs w:val="24"/>
        </w:rPr>
        <w:fldChar w:fldCharType="end"/>
      </w:r>
      <w:r w:rsidR="00C27B36" w:rsidRPr="005E36F4">
        <w:rPr>
          <w:rFonts w:ascii="Times New Roman" w:hAnsi="Times New Roman" w:cs="Times New Roman"/>
          <w:color w:val="1C1C1C"/>
          <w:szCs w:val="24"/>
        </w:rPr>
        <w:t>.</w:t>
      </w:r>
      <w:r w:rsidR="00C27B36" w:rsidRPr="00C27B36">
        <w:rPr>
          <w:rFonts w:ascii="Times New Roman" w:hAnsi="Times New Roman" w:cs="Times New Roman"/>
          <w:color w:val="1C1C1C"/>
          <w:szCs w:val="24"/>
        </w:rPr>
        <w:t xml:space="preserve">Para o presente trabalho, </w:t>
      </w:r>
      <w:r w:rsidR="00C27B36">
        <w:rPr>
          <w:rFonts w:ascii="Times New Roman" w:hAnsi="Times New Roman" w:cs="Times New Roman"/>
          <w:color w:val="1C1C1C"/>
          <w:szCs w:val="24"/>
        </w:rPr>
        <w:t xml:space="preserve">o principal desdobramento do Ato de 1974 se refere ao estabelecimento dos chamados </w:t>
      </w:r>
      <w:proofErr w:type="spellStart"/>
      <w:r w:rsidR="00C27B36" w:rsidRPr="00AC70B3">
        <w:rPr>
          <w:rFonts w:ascii="Times New Roman" w:hAnsi="Times New Roman" w:cs="Times New Roman"/>
          <w:i/>
          <w:color w:val="1C1C1C"/>
          <w:szCs w:val="24"/>
        </w:rPr>
        <w:lastRenderedPageBreak/>
        <w:t>Safety</w:t>
      </w:r>
      <w:proofErr w:type="spellEnd"/>
      <w:r w:rsidR="00C27B36" w:rsidRPr="00AC70B3">
        <w:rPr>
          <w:rFonts w:ascii="Times New Roman" w:hAnsi="Times New Roman" w:cs="Times New Roman"/>
          <w:i/>
          <w:color w:val="1C1C1C"/>
          <w:szCs w:val="24"/>
        </w:rPr>
        <w:t xml:space="preserve"> Case</w:t>
      </w:r>
      <w:r w:rsidR="00C27B36">
        <w:rPr>
          <w:rFonts w:ascii="Times New Roman" w:hAnsi="Times New Roman" w:cs="Times New Roman"/>
          <w:color w:val="1C1C1C"/>
          <w:szCs w:val="24"/>
        </w:rPr>
        <w:t>, o qual decorreu do entendimento que aqueles que criam as situações de risco são as pessoas em melhor condição para gerenciá-los</w:t>
      </w:r>
      <w:r w:rsidR="007D0BCA" w:rsidRPr="005E36F4">
        <w:rPr>
          <w:rFonts w:ascii="Times New Roman" w:hAnsi="Times New Roman" w:cs="Times New Roman"/>
          <w:color w:val="1C1C1C"/>
          <w:szCs w:val="24"/>
        </w:rPr>
        <w:fldChar w:fldCharType="begin" w:fldLock="1"/>
      </w:r>
      <w:r w:rsidR="002009D5">
        <w:rPr>
          <w:rFonts w:ascii="Times New Roman" w:hAnsi="Times New Roman" w:cs="Times New Roman"/>
          <w:color w:val="1C1C1C"/>
          <w:szCs w:val="24"/>
        </w:rPr>
        <w:instrText>ADDIN CSL_CITATION {"citationItems":[{"id":"ITEM-1","itemData":{"URL":"http://www.hse.gov.uk/aboutus/40/hswa-40.htm","accessed":{"date-parts":[["2018","5","4"]]},"author":[{"dropping-particle":"","family":"U.K Health and Safety Executive (HSE)","given":"","non-dropping-particle":"","parse-names":false,"suffix":""}],"id":"ITEM-1","issued":{"date-parts":[["0"]]},"title":"The Health and Safety at Work etc Act 1974 (HSWA)","type":"webpage"},"uris":["http://www.mendeley.com/documents/?uuid=c1931f0d-a629-451b-94ef-4eb221b89726"]}],"mendeley":{"formattedCitation":"[3]","plainTextFormattedCitation":"[3]","previouslyFormattedCitation":"[3]"},"properties":{"noteIndex":0},"schema":"https://github.com/citation-style-language/schema/raw/master/csl-citation.json"}</w:instrText>
      </w:r>
      <w:r w:rsidR="007D0BCA" w:rsidRPr="005E36F4">
        <w:rPr>
          <w:rFonts w:ascii="Times New Roman" w:hAnsi="Times New Roman" w:cs="Times New Roman"/>
          <w:color w:val="1C1C1C"/>
          <w:szCs w:val="24"/>
        </w:rPr>
        <w:fldChar w:fldCharType="separate"/>
      </w:r>
      <w:r w:rsidR="00C27B36" w:rsidRPr="00C27B36">
        <w:rPr>
          <w:rFonts w:ascii="Times New Roman" w:hAnsi="Times New Roman" w:cs="Times New Roman"/>
          <w:noProof/>
          <w:color w:val="1C1C1C"/>
          <w:szCs w:val="24"/>
        </w:rPr>
        <w:t>[3]</w:t>
      </w:r>
      <w:r w:rsidR="007D0BCA" w:rsidRPr="005E36F4">
        <w:rPr>
          <w:rFonts w:ascii="Times New Roman" w:hAnsi="Times New Roman" w:cs="Times New Roman"/>
          <w:color w:val="1C1C1C"/>
          <w:szCs w:val="24"/>
        </w:rPr>
        <w:fldChar w:fldCharType="end"/>
      </w:r>
      <w:r w:rsidR="00C27B36" w:rsidRPr="005E36F4">
        <w:rPr>
          <w:rFonts w:ascii="Times New Roman" w:hAnsi="Times New Roman" w:cs="Times New Roman"/>
          <w:color w:val="1C1C1C"/>
          <w:szCs w:val="24"/>
        </w:rPr>
        <w:t>.</w:t>
      </w:r>
      <w:r w:rsidR="00C10990" w:rsidRPr="00661341">
        <w:rPr>
          <w:rFonts w:ascii="Times New Roman" w:hAnsi="Times New Roman" w:cs="Times New Roman"/>
          <w:color w:val="1C1C1C"/>
          <w:szCs w:val="24"/>
        </w:rPr>
        <w:t xml:space="preserve">Basicamente, os </w:t>
      </w:r>
      <w:proofErr w:type="spellStart"/>
      <w:r w:rsidR="00AC70B3" w:rsidRPr="00661341">
        <w:rPr>
          <w:rFonts w:ascii="Times New Roman" w:hAnsi="Times New Roman" w:cs="Times New Roman"/>
          <w:i/>
          <w:color w:val="1C1C1C"/>
          <w:szCs w:val="24"/>
        </w:rPr>
        <w:t>Safety</w:t>
      </w:r>
      <w:proofErr w:type="spellEnd"/>
      <w:r w:rsidR="00AC70B3" w:rsidRPr="00661341">
        <w:rPr>
          <w:rFonts w:ascii="Times New Roman" w:hAnsi="Times New Roman" w:cs="Times New Roman"/>
          <w:i/>
          <w:color w:val="1C1C1C"/>
          <w:szCs w:val="24"/>
        </w:rPr>
        <w:t xml:space="preserve"> Cases</w:t>
      </w:r>
      <w:r w:rsidR="00AC70B3" w:rsidRPr="00661341">
        <w:rPr>
          <w:rFonts w:ascii="Times New Roman" w:hAnsi="Times New Roman" w:cs="Times New Roman"/>
          <w:color w:val="1C1C1C"/>
          <w:szCs w:val="24"/>
        </w:rPr>
        <w:t xml:space="preserve"> constituem um grupo de documentos </w:t>
      </w:r>
      <w:r w:rsidR="00661341" w:rsidRPr="00661341">
        <w:rPr>
          <w:rFonts w:ascii="Times New Roman" w:hAnsi="Times New Roman" w:cs="Times New Roman"/>
          <w:color w:val="1C1C1C"/>
          <w:szCs w:val="24"/>
        </w:rPr>
        <w:t>q</w:t>
      </w:r>
      <w:r w:rsidR="00661341">
        <w:rPr>
          <w:rFonts w:ascii="Times New Roman" w:hAnsi="Times New Roman" w:cs="Times New Roman"/>
          <w:color w:val="1C1C1C"/>
          <w:szCs w:val="24"/>
        </w:rPr>
        <w:t>ue identificam os perigos e os riscos envolvidos em uma determinada operação, descrevendo como os mesmos são controlados</w:t>
      </w:r>
      <w:r w:rsidR="002009D5">
        <w:rPr>
          <w:rFonts w:ascii="Times New Roman" w:hAnsi="Times New Roman" w:cs="Times New Roman"/>
          <w:color w:val="1C1C1C"/>
          <w:szCs w:val="24"/>
        </w:rPr>
        <w:t>, assim como o sistema de gestão posto em prática para sua execução</w:t>
      </w:r>
      <w:r w:rsidR="007D0BCA" w:rsidRPr="005E36F4">
        <w:rPr>
          <w:rFonts w:ascii="Times New Roman" w:hAnsi="Times New Roman" w:cs="Times New Roman"/>
          <w:color w:val="1C1C1C"/>
          <w:szCs w:val="24"/>
        </w:rPr>
        <w:fldChar w:fldCharType="begin" w:fldLock="1"/>
      </w:r>
      <w:r w:rsidR="002009D5">
        <w:rPr>
          <w:rFonts w:ascii="Times New Roman" w:hAnsi="Times New Roman" w:cs="Times New Roman"/>
          <w:color w:val="1C1C1C"/>
          <w:szCs w:val="24"/>
        </w:rPr>
        <w:instrText>ADDIN CSL_CITATION {"citationItems":[{"id":"ITEM-1","itemData":{"URL":"https://www.nopsema.gov.au/safety/safety-case/what-is-a-safety-case/","accessed":{"date-parts":[["2018","6","15"]]},"author":[{"dropping-particle":"","family":"NOPSEMA","given":"","non-dropping-particle":"","parse-names":false,"suffix":""}],"id":"ITEM-1","issued":{"date-parts":[["0"]]},"title":"What is a Safety Case","type":"webpage"},"uris":["http://www.mendeley.com/documents/?uuid=305b57d1-cf0a-46fc-8ee7-96d836731a5c"]}],"mendeley":{"formattedCitation":"[4]","plainTextFormattedCitation":"[4]","previouslyFormattedCitation":"[4]"},"properties":{"noteIndex":0},"schema":"https://github.com/citation-style-language/schema/raw/master/csl-citation.json"}</w:instrText>
      </w:r>
      <w:r w:rsidR="007D0BCA" w:rsidRPr="005E36F4">
        <w:rPr>
          <w:rFonts w:ascii="Times New Roman" w:hAnsi="Times New Roman" w:cs="Times New Roman"/>
          <w:color w:val="1C1C1C"/>
          <w:szCs w:val="24"/>
        </w:rPr>
        <w:fldChar w:fldCharType="separate"/>
      </w:r>
      <w:r w:rsidR="00C27B36" w:rsidRPr="002009D5">
        <w:rPr>
          <w:rFonts w:ascii="Times New Roman" w:hAnsi="Times New Roman" w:cs="Times New Roman"/>
          <w:noProof/>
          <w:color w:val="1C1C1C"/>
          <w:szCs w:val="24"/>
        </w:rPr>
        <w:t>[4]</w:t>
      </w:r>
      <w:r w:rsidR="007D0BCA" w:rsidRPr="005E36F4">
        <w:rPr>
          <w:rFonts w:ascii="Times New Roman" w:hAnsi="Times New Roman" w:cs="Times New Roman"/>
          <w:color w:val="1C1C1C"/>
          <w:szCs w:val="24"/>
        </w:rPr>
        <w:fldChar w:fldCharType="end"/>
      </w:r>
      <w:r w:rsidR="002009D5">
        <w:rPr>
          <w:rFonts w:ascii="Times New Roman" w:hAnsi="Times New Roman" w:cs="Times New Roman"/>
          <w:color w:val="1C1C1C"/>
          <w:szCs w:val="24"/>
        </w:rPr>
        <w:t>.</w:t>
      </w:r>
    </w:p>
    <w:p w:rsidR="00D0326A" w:rsidRPr="00375D02" w:rsidRDefault="002009D5" w:rsidP="00375D02">
      <w:pPr>
        <w:jc w:val="both"/>
        <w:rPr>
          <w:rFonts w:ascii="Times New Roman" w:hAnsi="Times New Roman" w:cs="Times New Roman"/>
          <w:color w:val="1C1C1C"/>
          <w:szCs w:val="24"/>
        </w:rPr>
      </w:pPr>
      <w:r w:rsidRPr="002009D5">
        <w:rPr>
          <w:rFonts w:ascii="Times New Roman" w:hAnsi="Times New Roman" w:cs="Times New Roman"/>
          <w:color w:val="1C1C1C"/>
          <w:szCs w:val="24"/>
        </w:rPr>
        <w:t>Atualmente, a influência desta linha d</w:t>
      </w:r>
      <w:r>
        <w:rPr>
          <w:rFonts w:ascii="Times New Roman" w:hAnsi="Times New Roman" w:cs="Times New Roman"/>
          <w:color w:val="1C1C1C"/>
          <w:szCs w:val="24"/>
        </w:rPr>
        <w:t xml:space="preserve">e pensamento, voltada ao emprego de premissas não-determinísticas, tanto a nível de outras legislações, quanto de padrões e normas da indústria. </w:t>
      </w:r>
      <w:r w:rsidRPr="00D0326A">
        <w:rPr>
          <w:rFonts w:ascii="Times New Roman" w:hAnsi="Times New Roman" w:cs="Times New Roman"/>
          <w:color w:val="1C1C1C"/>
          <w:szCs w:val="24"/>
        </w:rPr>
        <w:t xml:space="preserve">Sobre esta última, destaca-se aqui a NORSOK D-010 </w:t>
      </w:r>
      <w:r w:rsidR="007D0BCA" w:rsidRPr="00D0326A">
        <w:rPr>
          <w:rFonts w:ascii="Times New Roman" w:hAnsi="Times New Roman" w:cs="Times New Roman"/>
          <w:color w:val="1C1C1C"/>
          <w:szCs w:val="24"/>
        </w:rPr>
        <w:fldChar w:fldCharType="begin" w:fldLock="1"/>
      </w:r>
      <w:r w:rsidR="00D0326A">
        <w:rPr>
          <w:rFonts w:ascii="Times New Roman" w:hAnsi="Times New Roman" w:cs="Times New Roman"/>
          <w:color w:val="1C1C1C"/>
          <w:szCs w:val="24"/>
        </w:rPr>
        <w:instrText>ADDIN CSL_CITATION {"citationItems":[{"id":"ITEM-1","itemData":{"ISBN":"9789280114324","author":[{"dropping-particle":"","family":"NORSOK","given":"","non-dropping-particle":"","parse-names":false,"suffix":""}],"id":"ITEM-1","issue":"Rev. 4, June 2013","issued":{"date-parts":[["2013"]]},"publisher":"Standards Norway","publisher-place":"Strandveien","title":"NORSOK Standard D-010: Well integrity in drilling and well operations","type":"article"},"uris":["http://www.mendeley.com/documents/?uuid=a33bd591-1882-4a8e-bdc8-91efd2c6f04b"]}],"mendeley":{"formattedCitation":"[5]","plainTextFormattedCitation":"[5]","previouslyFormattedCitation":"[5]"},"properties":{"noteIndex":0},"schema":"https://github.com/citation-style-language/schema/raw/master/csl-citation.json"}</w:instrText>
      </w:r>
      <w:r w:rsidR="007D0BCA" w:rsidRPr="00D0326A">
        <w:rPr>
          <w:rFonts w:ascii="Times New Roman" w:hAnsi="Times New Roman" w:cs="Times New Roman"/>
          <w:color w:val="1C1C1C"/>
          <w:szCs w:val="24"/>
        </w:rPr>
        <w:fldChar w:fldCharType="separate"/>
      </w:r>
      <w:r w:rsidRPr="00D0326A">
        <w:rPr>
          <w:rFonts w:ascii="Times New Roman" w:hAnsi="Times New Roman" w:cs="Times New Roman"/>
          <w:noProof/>
          <w:color w:val="1C1C1C"/>
          <w:szCs w:val="24"/>
        </w:rPr>
        <w:t>[5]</w:t>
      </w:r>
      <w:r w:rsidR="007D0BCA" w:rsidRPr="00D0326A">
        <w:rPr>
          <w:rFonts w:ascii="Times New Roman" w:hAnsi="Times New Roman" w:cs="Times New Roman"/>
          <w:color w:val="1C1C1C"/>
          <w:szCs w:val="24"/>
        </w:rPr>
        <w:fldChar w:fldCharType="end"/>
      </w:r>
      <w:r w:rsidRPr="00D0326A">
        <w:rPr>
          <w:rFonts w:ascii="Times New Roman" w:hAnsi="Times New Roman" w:cs="Times New Roman"/>
          <w:color w:val="1C1C1C"/>
          <w:szCs w:val="24"/>
        </w:rPr>
        <w:t xml:space="preserve">, que explicitamente associa </w:t>
      </w:r>
      <w:r w:rsidR="00D0326A" w:rsidRPr="00D0326A">
        <w:rPr>
          <w:rFonts w:ascii="Times New Roman" w:hAnsi="Times New Roman" w:cs="Times New Roman"/>
          <w:color w:val="1C1C1C"/>
          <w:szCs w:val="24"/>
        </w:rPr>
        <w:t>a integridade de poços não apenas a a</w:t>
      </w:r>
      <w:r w:rsidR="00D0326A">
        <w:rPr>
          <w:rFonts w:ascii="Times New Roman" w:hAnsi="Times New Roman" w:cs="Times New Roman"/>
          <w:color w:val="1C1C1C"/>
          <w:szCs w:val="24"/>
        </w:rPr>
        <w:t xml:space="preserve">spectos técnicos e operacionais, mas a todos os níveis organizacionais relevantes. </w:t>
      </w:r>
      <w:r w:rsidR="00D0326A" w:rsidRPr="00D0326A">
        <w:rPr>
          <w:rFonts w:ascii="Times New Roman" w:hAnsi="Times New Roman" w:cs="Times New Roman"/>
          <w:color w:val="1C1C1C"/>
          <w:szCs w:val="24"/>
        </w:rPr>
        <w:t>Sobre a primeira, a Resolução 46 da ANP</w:t>
      </w:r>
      <w:r w:rsidR="007D0BCA" w:rsidRPr="00D0326A">
        <w:rPr>
          <w:rFonts w:ascii="Times New Roman" w:hAnsi="Times New Roman" w:cs="Times New Roman"/>
          <w:color w:val="1C1C1C"/>
          <w:szCs w:val="24"/>
        </w:rPr>
        <w:fldChar w:fldCharType="begin" w:fldLock="1"/>
      </w:r>
      <w:r w:rsidR="00E71D62">
        <w:rPr>
          <w:rFonts w:ascii="Times New Roman" w:hAnsi="Times New Roman" w:cs="Times New Roman"/>
          <w:color w:val="1C1C1C"/>
          <w:szCs w:val="24"/>
        </w:rPr>
        <w:instrText>ADDIN CSL_CITATION {"citationItems":[{"id":"ITEM-1","itemData":{"author":[{"dropping-particle":"","family":"ANP","given":"","non-dropping-particle":"","parse-names":false,"suffix":""}],"id":"ITEM-1","issued":{"date-parts":[["2016"]]},"page":"1-19","title":"Resolução ANP nº 46 de 01/11/2016","type":"article-journal"},"uris":["http://www.mendeley.com/documents/?uuid=bdab384a-b8bd-4218-ab76-d4ce52043c35"]}],"mendeley":{"formattedCitation":"[6]","plainTextFormattedCitation":"[6]","previouslyFormattedCitation":"[6]"},"properties":{"noteIndex":0},"schema":"https://github.com/citation-style-language/schema/raw/master/csl-citation.json"}</w:instrText>
      </w:r>
      <w:r w:rsidR="007D0BCA" w:rsidRPr="00D0326A">
        <w:rPr>
          <w:rFonts w:ascii="Times New Roman" w:hAnsi="Times New Roman" w:cs="Times New Roman"/>
          <w:color w:val="1C1C1C"/>
          <w:szCs w:val="24"/>
        </w:rPr>
        <w:fldChar w:fldCharType="separate"/>
      </w:r>
      <w:r w:rsidR="00D0326A" w:rsidRPr="00D0326A">
        <w:rPr>
          <w:rFonts w:ascii="Times New Roman" w:hAnsi="Times New Roman" w:cs="Times New Roman"/>
          <w:noProof/>
          <w:color w:val="1C1C1C"/>
          <w:szCs w:val="24"/>
        </w:rPr>
        <w:t>[6]</w:t>
      </w:r>
      <w:r w:rsidR="007D0BCA" w:rsidRPr="00D0326A">
        <w:rPr>
          <w:rFonts w:ascii="Times New Roman" w:hAnsi="Times New Roman" w:cs="Times New Roman"/>
          <w:color w:val="1C1C1C"/>
          <w:szCs w:val="24"/>
        </w:rPr>
        <w:fldChar w:fldCharType="end"/>
      </w:r>
      <w:r w:rsidR="00D0326A">
        <w:rPr>
          <w:rFonts w:ascii="Times New Roman" w:hAnsi="Times New Roman" w:cs="Times New Roman"/>
          <w:color w:val="1C1C1C"/>
          <w:szCs w:val="24"/>
        </w:rPr>
        <w:t xml:space="preserve">, que formaliza o Regime de Segurança Operacional para a Integridade de Poços de Petróleo e Gás Natural, estabelece o </w:t>
      </w:r>
      <w:r w:rsidR="00D0326A" w:rsidRPr="00D0326A">
        <w:rPr>
          <w:rFonts w:ascii="Times New Roman" w:hAnsi="Times New Roman" w:cs="Times New Roman"/>
          <w:color w:val="1C1C1C"/>
          <w:szCs w:val="24"/>
        </w:rPr>
        <w:t>Regulamento Técnico do Sistema de Gerenciamento da Integridade de Poços - SGIP instituído</w:t>
      </w:r>
      <w:r w:rsidR="00D0326A">
        <w:rPr>
          <w:rFonts w:ascii="Times New Roman" w:hAnsi="Times New Roman" w:cs="Times New Roman"/>
          <w:color w:val="1C1C1C"/>
          <w:szCs w:val="24"/>
        </w:rPr>
        <w:t>, baseado em dezessete Práticas de Gestão, das quais treze dizem respeito à gestão de riscos</w:t>
      </w:r>
      <w:r w:rsidR="00375D02">
        <w:rPr>
          <w:rFonts w:ascii="Times New Roman" w:hAnsi="Times New Roman" w:cs="Times New Roman"/>
          <w:color w:val="1C1C1C"/>
          <w:szCs w:val="24"/>
        </w:rPr>
        <w:t>, a saber: a</w:t>
      </w:r>
      <w:r w:rsidR="00042012" w:rsidRPr="00375D02">
        <w:rPr>
          <w:rFonts w:ascii="Times New Roman" w:hAnsi="Times New Roman" w:cs="Times New Roman"/>
          <w:color w:val="1C1C1C"/>
          <w:szCs w:val="24"/>
        </w:rPr>
        <w:t xml:space="preserve">spectos </w:t>
      </w:r>
      <w:r w:rsidR="00375D02" w:rsidRPr="00375D02">
        <w:rPr>
          <w:rFonts w:ascii="Times New Roman" w:hAnsi="Times New Roman" w:cs="Times New Roman"/>
          <w:color w:val="1C1C1C"/>
          <w:szCs w:val="24"/>
        </w:rPr>
        <w:t>o</w:t>
      </w:r>
      <w:r w:rsidR="00042012" w:rsidRPr="00375D02">
        <w:rPr>
          <w:rFonts w:ascii="Times New Roman" w:hAnsi="Times New Roman" w:cs="Times New Roman"/>
          <w:color w:val="1C1C1C"/>
          <w:szCs w:val="24"/>
        </w:rPr>
        <w:t>rganizacionais</w:t>
      </w:r>
      <w:r w:rsidR="00375D02" w:rsidRPr="00375D02">
        <w:rPr>
          <w:rFonts w:ascii="Times New Roman" w:hAnsi="Times New Roman" w:cs="Times New Roman"/>
          <w:color w:val="1C1C1C"/>
          <w:szCs w:val="24"/>
        </w:rPr>
        <w:t>, p</w:t>
      </w:r>
      <w:r w:rsidR="00D0326A" w:rsidRPr="00375D02">
        <w:rPr>
          <w:rFonts w:ascii="Times New Roman" w:hAnsi="Times New Roman" w:cs="Times New Roman"/>
          <w:color w:val="1C1C1C"/>
          <w:szCs w:val="24"/>
        </w:rPr>
        <w:t>r</w:t>
      </w:r>
      <w:r w:rsidR="00042012" w:rsidRPr="00375D02">
        <w:rPr>
          <w:rFonts w:ascii="Times New Roman" w:hAnsi="Times New Roman" w:cs="Times New Roman"/>
          <w:color w:val="1C1C1C"/>
          <w:szCs w:val="24"/>
        </w:rPr>
        <w:t>áticas</w:t>
      </w:r>
      <w:r w:rsidR="00D0326A" w:rsidRPr="00375D02">
        <w:rPr>
          <w:rFonts w:ascii="Times New Roman" w:hAnsi="Times New Roman" w:cs="Times New Roman"/>
          <w:color w:val="1C1C1C"/>
          <w:szCs w:val="24"/>
        </w:rPr>
        <w:t xml:space="preserve"> 2</w:t>
      </w:r>
      <w:r w:rsidR="00042012" w:rsidRPr="00375D02">
        <w:rPr>
          <w:rFonts w:ascii="Times New Roman" w:hAnsi="Times New Roman" w:cs="Times New Roman"/>
          <w:color w:val="1C1C1C"/>
          <w:szCs w:val="24"/>
        </w:rPr>
        <w:t xml:space="preserve">, </w:t>
      </w:r>
      <w:r w:rsidR="00D0326A" w:rsidRPr="00375D02">
        <w:rPr>
          <w:rFonts w:ascii="Times New Roman" w:hAnsi="Times New Roman" w:cs="Times New Roman"/>
          <w:color w:val="1C1C1C"/>
          <w:szCs w:val="24"/>
        </w:rPr>
        <w:t xml:space="preserve">3; 6 </w:t>
      </w:r>
      <w:r w:rsidR="00042012" w:rsidRPr="00375D02">
        <w:rPr>
          <w:rFonts w:ascii="Times New Roman" w:hAnsi="Times New Roman" w:cs="Times New Roman"/>
          <w:color w:val="1C1C1C"/>
          <w:szCs w:val="24"/>
        </w:rPr>
        <w:t>a</w:t>
      </w:r>
      <w:r w:rsidR="00D0326A" w:rsidRPr="00375D02">
        <w:rPr>
          <w:rFonts w:ascii="Times New Roman" w:hAnsi="Times New Roman" w:cs="Times New Roman"/>
          <w:color w:val="1C1C1C"/>
          <w:szCs w:val="24"/>
        </w:rPr>
        <w:t xml:space="preserve"> 9; 13 </w:t>
      </w:r>
      <w:r w:rsidR="00042012" w:rsidRPr="00375D02">
        <w:rPr>
          <w:rFonts w:ascii="Times New Roman" w:hAnsi="Times New Roman" w:cs="Times New Roman"/>
          <w:color w:val="1C1C1C"/>
          <w:szCs w:val="24"/>
        </w:rPr>
        <w:t>a</w:t>
      </w:r>
      <w:r w:rsidR="00D0326A" w:rsidRPr="00375D02">
        <w:rPr>
          <w:rFonts w:ascii="Times New Roman" w:hAnsi="Times New Roman" w:cs="Times New Roman"/>
          <w:color w:val="1C1C1C"/>
          <w:szCs w:val="24"/>
        </w:rPr>
        <w:t xml:space="preserve"> 16</w:t>
      </w:r>
      <w:r w:rsidR="00042012" w:rsidRPr="00375D02">
        <w:rPr>
          <w:rFonts w:ascii="Times New Roman" w:hAnsi="Times New Roman" w:cs="Times New Roman"/>
          <w:color w:val="1C1C1C"/>
          <w:szCs w:val="24"/>
        </w:rPr>
        <w:t>;</w:t>
      </w:r>
      <w:r w:rsidR="00375D02" w:rsidRPr="00375D02">
        <w:rPr>
          <w:rFonts w:ascii="Times New Roman" w:hAnsi="Times New Roman" w:cs="Times New Roman"/>
          <w:color w:val="1C1C1C"/>
          <w:szCs w:val="24"/>
        </w:rPr>
        <w:t xml:space="preserve"> o</w:t>
      </w:r>
      <w:r w:rsidR="00042012" w:rsidRPr="00375D02">
        <w:rPr>
          <w:rFonts w:ascii="Times New Roman" w:hAnsi="Times New Roman" w:cs="Times New Roman"/>
          <w:color w:val="1C1C1C"/>
          <w:szCs w:val="24"/>
        </w:rPr>
        <w:t>perações</w:t>
      </w:r>
      <w:r w:rsidR="00D0326A" w:rsidRPr="00375D02">
        <w:rPr>
          <w:rFonts w:ascii="Times New Roman" w:hAnsi="Times New Roman" w:cs="Times New Roman"/>
          <w:color w:val="1C1C1C"/>
          <w:szCs w:val="24"/>
        </w:rPr>
        <w:t xml:space="preserve">: </w:t>
      </w:r>
      <w:r w:rsidR="00375D02" w:rsidRPr="00375D02">
        <w:rPr>
          <w:rFonts w:ascii="Times New Roman" w:hAnsi="Times New Roman" w:cs="Times New Roman"/>
          <w:color w:val="1C1C1C"/>
          <w:szCs w:val="24"/>
        </w:rPr>
        <w:t>p</w:t>
      </w:r>
      <w:r w:rsidR="00042012" w:rsidRPr="00375D02">
        <w:rPr>
          <w:rFonts w:ascii="Times New Roman" w:hAnsi="Times New Roman" w:cs="Times New Roman"/>
          <w:color w:val="1C1C1C"/>
          <w:szCs w:val="24"/>
        </w:rPr>
        <w:t xml:space="preserve">ráticas </w:t>
      </w:r>
      <w:r w:rsidR="00D0326A" w:rsidRPr="00375D02">
        <w:rPr>
          <w:rFonts w:ascii="Times New Roman" w:hAnsi="Times New Roman" w:cs="Times New Roman"/>
          <w:color w:val="1C1C1C"/>
          <w:szCs w:val="24"/>
        </w:rPr>
        <w:t xml:space="preserve">10 </w:t>
      </w:r>
      <w:r w:rsidR="00042012" w:rsidRPr="00375D02">
        <w:rPr>
          <w:rFonts w:ascii="Times New Roman" w:hAnsi="Times New Roman" w:cs="Times New Roman"/>
          <w:color w:val="1C1C1C"/>
          <w:szCs w:val="24"/>
        </w:rPr>
        <w:t>e</w:t>
      </w:r>
      <w:r w:rsidR="00D0326A" w:rsidRPr="00375D02">
        <w:rPr>
          <w:rFonts w:ascii="Times New Roman" w:hAnsi="Times New Roman" w:cs="Times New Roman"/>
          <w:color w:val="1C1C1C"/>
          <w:szCs w:val="24"/>
        </w:rPr>
        <w:t xml:space="preserve"> 11</w:t>
      </w:r>
      <w:r w:rsidR="00042012" w:rsidRPr="00375D02">
        <w:rPr>
          <w:rFonts w:ascii="Times New Roman" w:hAnsi="Times New Roman" w:cs="Times New Roman"/>
          <w:color w:val="1C1C1C"/>
          <w:szCs w:val="24"/>
        </w:rPr>
        <w:t>;</w:t>
      </w:r>
      <w:r w:rsidR="00375D02" w:rsidRPr="00375D02">
        <w:rPr>
          <w:rFonts w:ascii="Times New Roman" w:hAnsi="Times New Roman" w:cs="Times New Roman"/>
          <w:color w:val="1C1C1C"/>
          <w:szCs w:val="24"/>
        </w:rPr>
        <w:t xml:space="preserve"> e a</w:t>
      </w:r>
      <w:r w:rsidR="00042012" w:rsidRPr="00375D02">
        <w:rPr>
          <w:rFonts w:ascii="Times New Roman" w:hAnsi="Times New Roman" w:cs="Times New Roman"/>
          <w:color w:val="1C1C1C"/>
          <w:szCs w:val="24"/>
        </w:rPr>
        <w:t xml:space="preserve">nálise de </w:t>
      </w:r>
      <w:r w:rsidR="00375D02" w:rsidRPr="00375D02">
        <w:rPr>
          <w:rFonts w:ascii="Times New Roman" w:hAnsi="Times New Roman" w:cs="Times New Roman"/>
          <w:color w:val="1C1C1C"/>
          <w:szCs w:val="24"/>
        </w:rPr>
        <w:t>r</w:t>
      </w:r>
      <w:r w:rsidR="00042012" w:rsidRPr="00375D02">
        <w:rPr>
          <w:rFonts w:ascii="Times New Roman" w:hAnsi="Times New Roman" w:cs="Times New Roman"/>
          <w:color w:val="1C1C1C"/>
          <w:szCs w:val="24"/>
        </w:rPr>
        <w:t>iscos</w:t>
      </w:r>
      <w:r w:rsidR="00D0326A" w:rsidRPr="00375D02">
        <w:rPr>
          <w:rFonts w:ascii="Times New Roman" w:hAnsi="Times New Roman" w:cs="Times New Roman"/>
          <w:color w:val="1C1C1C"/>
          <w:szCs w:val="24"/>
        </w:rPr>
        <w:t>: Pr</w:t>
      </w:r>
      <w:r w:rsidR="00042012" w:rsidRPr="00375D02">
        <w:rPr>
          <w:rFonts w:ascii="Times New Roman" w:hAnsi="Times New Roman" w:cs="Times New Roman"/>
          <w:color w:val="1C1C1C"/>
          <w:szCs w:val="24"/>
        </w:rPr>
        <w:t xml:space="preserve">ática </w:t>
      </w:r>
      <w:r w:rsidR="00D0326A" w:rsidRPr="00375D02">
        <w:rPr>
          <w:rFonts w:ascii="Times New Roman" w:hAnsi="Times New Roman" w:cs="Times New Roman"/>
          <w:color w:val="1C1C1C"/>
          <w:szCs w:val="24"/>
        </w:rPr>
        <w:t>12</w:t>
      </w:r>
      <w:r w:rsidR="00042012" w:rsidRPr="00375D02">
        <w:rPr>
          <w:rFonts w:ascii="Times New Roman" w:hAnsi="Times New Roman" w:cs="Times New Roman"/>
          <w:color w:val="1C1C1C"/>
          <w:szCs w:val="24"/>
        </w:rPr>
        <w:t>.</w:t>
      </w:r>
    </w:p>
    <w:p w:rsidR="00E01E00" w:rsidRDefault="00A42046" w:rsidP="00A42046">
      <w:pPr>
        <w:pStyle w:val="Ttulo1"/>
        <w:numPr>
          <w:ilvl w:val="0"/>
          <w:numId w:val="16"/>
        </w:numPr>
      </w:pPr>
      <w:r>
        <w:t>DESCRIÇÃO</w:t>
      </w:r>
    </w:p>
    <w:p w:rsidR="00E71D62" w:rsidRDefault="00E71D62" w:rsidP="00E71D62">
      <w:pPr>
        <w:jc w:val="both"/>
        <w:rPr>
          <w:rFonts w:ascii="Times New Roman" w:hAnsi="Times New Roman" w:cs="Times New Roman"/>
          <w:color w:val="1C1C1C"/>
          <w:szCs w:val="24"/>
        </w:rPr>
      </w:pPr>
      <w:r w:rsidRPr="00E71D62">
        <w:rPr>
          <w:rFonts w:ascii="Times New Roman" w:hAnsi="Times New Roman" w:cs="Times New Roman"/>
          <w:color w:val="1C1C1C"/>
          <w:szCs w:val="24"/>
        </w:rPr>
        <w:t>A transição de uma a</w:t>
      </w:r>
      <w:r>
        <w:rPr>
          <w:rFonts w:ascii="Times New Roman" w:hAnsi="Times New Roman" w:cs="Times New Roman"/>
          <w:color w:val="1C1C1C"/>
          <w:szCs w:val="24"/>
        </w:rPr>
        <w:t xml:space="preserve">bordagem determinística (prescritiva) para uma combinação de premissas determinísticas e não-determinísticas, percebida ao longo das últimas décadas e sucintamente abordada nos parágrafos anteriores, está relacionada às mudanças em andamento nas políticas de risco, saúde e segurança, principalmente percebidas em países industrializados </w:t>
      </w:r>
      <w:r w:rsidR="007D0BCA" w:rsidRPr="005E36F4">
        <w:rPr>
          <w:rFonts w:ascii="Times New Roman" w:hAnsi="Times New Roman" w:cs="Times New Roman"/>
          <w:color w:val="1C1C1C"/>
          <w:szCs w:val="24"/>
        </w:rPr>
        <w:fldChar w:fldCharType="begin" w:fldLock="1"/>
      </w:r>
      <w:r>
        <w:rPr>
          <w:rFonts w:ascii="Times New Roman" w:hAnsi="Times New Roman" w:cs="Times New Roman"/>
          <w:color w:val="1C1C1C"/>
          <w:szCs w:val="24"/>
        </w:rPr>
        <w:instrText>ADDIN CSL_CITATION {"citationItems":[{"id":"ITEM-1","itemData":{"DOI":"10.1016/j.ssci.2015.03.008","ISSN":"18791042","abstract":"This article addresses attitudes toward the use of functional versus prescriptive risk regulations. The context for the study is the use of functional internal control regulations for information and communication technology (ICT) safety and security in network companies within the Norwegian electric power supply sector. The rapid development in ICT has made traditional methods of command and control (prescriptive) regulation by government less adequate in coping with modern risks, and the introduction of internal control has been an attempt to develop new approaches and means to cope with new challenges of misfits between technology and regulation (Hovden, 1998). The article concludes that the degree of complexity, uncertainty and uncontrollability of a specific risk problem experienced by different actors, can explain varying attitudes toward the use of functional regulations for controlling risks.","author":[{"dropping-particle":"","family":"Skotnes","given":"Ruth Ostgaard","non-dropping-particle":"","parse-names":false,"suffix":""},{"dropping-particle":"","family":"Engen","given":"Ole Andreas","non-dropping-particle":"","parse-names":false,"suffix":""}],"container-title":"Safety Science","id":"ITEM-1","issued":{"date-parts":[["2015"]]},"page":"10-18","title":"Attitudes toward risk regulation - Prescriptive or functional regulation?","type":"article-journal","volume":"77"},"uris":["http://www.mendeley.com/documents/?uuid=9d715b1f-5404-4fc0-9ac8-a14083aef0b1"]}],"mendeley":{"formattedCitation":"[7]","plainTextFormattedCitation":"[7]","previouslyFormattedCitation":"[7]"},"properties":{"noteIndex":0},"schema":"https://github.com/citation-style-language/schema/raw/master/csl-citation.json"}</w:instrText>
      </w:r>
      <w:r w:rsidR="007D0BCA" w:rsidRPr="005E36F4">
        <w:rPr>
          <w:rFonts w:ascii="Times New Roman" w:hAnsi="Times New Roman" w:cs="Times New Roman"/>
          <w:color w:val="1C1C1C"/>
          <w:szCs w:val="24"/>
        </w:rPr>
        <w:fldChar w:fldCharType="separate"/>
      </w:r>
      <w:r w:rsidRPr="00E71D62">
        <w:rPr>
          <w:rFonts w:ascii="Times New Roman" w:hAnsi="Times New Roman" w:cs="Times New Roman"/>
          <w:noProof/>
          <w:color w:val="1C1C1C"/>
          <w:szCs w:val="24"/>
        </w:rPr>
        <w:t>[7]</w:t>
      </w:r>
      <w:r w:rsidR="007D0BCA" w:rsidRPr="005E36F4">
        <w:rPr>
          <w:rFonts w:ascii="Times New Roman" w:hAnsi="Times New Roman" w:cs="Times New Roman"/>
          <w:color w:val="1C1C1C"/>
          <w:szCs w:val="24"/>
        </w:rPr>
        <w:fldChar w:fldCharType="end"/>
      </w:r>
      <w:r w:rsidRPr="00E71D62">
        <w:rPr>
          <w:rFonts w:ascii="Times New Roman" w:hAnsi="Times New Roman" w:cs="Times New Roman"/>
          <w:color w:val="1C1C1C"/>
          <w:szCs w:val="24"/>
        </w:rPr>
        <w:t xml:space="preserve">. </w:t>
      </w:r>
    </w:p>
    <w:p w:rsidR="00E71D62" w:rsidRDefault="00207707" w:rsidP="00E71D62">
      <w:pPr>
        <w:jc w:val="both"/>
        <w:rPr>
          <w:rFonts w:ascii="Times New Roman" w:hAnsi="Times New Roman" w:cs="Times New Roman"/>
          <w:color w:val="1C1C1C"/>
          <w:szCs w:val="24"/>
        </w:rPr>
      </w:pPr>
      <w:r>
        <w:rPr>
          <w:rFonts w:ascii="Times New Roman" w:hAnsi="Times New Roman" w:cs="Times New Roman"/>
          <w:color w:val="1C1C1C"/>
          <w:szCs w:val="24"/>
        </w:rPr>
        <w:t xml:space="preserve">Não obstante, a adoção de práticas puramente prescritivas </w:t>
      </w:r>
      <w:r w:rsidR="00A5563A">
        <w:rPr>
          <w:rFonts w:ascii="Times New Roman" w:hAnsi="Times New Roman" w:cs="Times New Roman"/>
          <w:color w:val="1C1C1C"/>
          <w:szCs w:val="24"/>
        </w:rPr>
        <w:t xml:space="preserve">segue como uma realidade presente. No segmento de Óleo e Gás, o principal exemplo dessa política vem da constituição do </w:t>
      </w:r>
      <w:r w:rsidR="00A5563A" w:rsidRPr="001D24B1">
        <w:rPr>
          <w:rFonts w:ascii="Times New Roman" w:hAnsi="Times New Roman" w:cs="Times New Roman"/>
          <w:i/>
          <w:color w:val="1C1C1C"/>
          <w:szCs w:val="24"/>
        </w:rPr>
        <w:t xml:space="preserve">Bureau </w:t>
      </w:r>
      <w:proofErr w:type="spellStart"/>
      <w:r w:rsidR="00A5563A" w:rsidRPr="001D24B1">
        <w:rPr>
          <w:rFonts w:ascii="Times New Roman" w:hAnsi="Times New Roman" w:cs="Times New Roman"/>
          <w:i/>
          <w:color w:val="1C1C1C"/>
          <w:szCs w:val="24"/>
        </w:rPr>
        <w:t>ofSafetyand</w:t>
      </w:r>
      <w:proofErr w:type="spellEnd"/>
      <w:r w:rsidR="00A5563A" w:rsidRPr="001D24B1">
        <w:rPr>
          <w:rFonts w:ascii="Times New Roman" w:hAnsi="Times New Roman" w:cs="Times New Roman"/>
          <w:i/>
          <w:color w:val="1C1C1C"/>
          <w:szCs w:val="24"/>
        </w:rPr>
        <w:t xml:space="preserve"> </w:t>
      </w:r>
      <w:proofErr w:type="spellStart"/>
      <w:r w:rsidR="00A5563A" w:rsidRPr="001D24B1">
        <w:rPr>
          <w:rFonts w:ascii="Times New Roman" w:hAnsi="Times New Roman" w:cs="Times New Roman"/>
          <w:i/>
          <w:color w:val="1C1C1C"/>
          <w:szCs w:val="24"/>
        </w:rPr>
        <w:t>Environmental</w:t>
      </w:r>
      <w:proofErr w:type="spellEnd"/>
      <w:r w:rsidR="00A5563A" w:rsidRPr="001D24B1">
        <w:rPr>
          <w:rFonts w:ascii="Times New Roman" w:hAnsi="Times New Roman" w:cs="Times New Roman"/>
          <w:i/>
          <w:color w:val="1C1C1C"/>
          <w:szCs w:val="24"/>
        </w:rPr>
        <w:t xml:space="preserve"> </w:t>
      </w:r>
      <w:proofErr w:type="spellStart"/>
      <w:r w:rsidR="00A5563A" w:rsidRPr="001D24B1">
        <w:rPr>
          <w:rFonts w:ascii="Times New Roman" w:hAnsi="Times New Roman" w:cs="Times New Roman"/>
          <w:i/>
          <w:color w:val="1C1C1C"/>
          <w:szCs w:val="24"/>
        </w:rPr>
        <w:t>Enforcement</w:t>
      </w:r>
      <w:proofErr w:type="spellEnd"/>
      <w:r w:rsidR="00A5563A" w:rsidRPr="00A5563A">
        <w:rPr>
          <w:rFonts w:ascii="Times New Roman" w:hAnsi="Times New Roman" w:cs="Times New Roman"/>
          <w:color w:val="1C1C1C"/>
          <w:szCs w:val="24"/>
        </w:rPr>
        <w:t xml:space="preserve"> (BSEE)</w:t>
      </w:r>
      <w:r w:rsidR="00A5563A">
        <w:rPr>
          <w:rFonts w:ascii="Times New Roman" w:hAnsi="Times New Roman" w:cs="Times New Roman"/>
          <w:color w:val="1C1C1C"/>
          <w:szCs w:val="24"/>
        </w:rPr>
        <w:t xml:space="preserve"> nos Estados Unidos, substituindo o antigo </w:t>
      </w:r>
      <w:proofErr w:type="spellStart"/>
      <w:r w:rsidR="00A5563A">
        <w:rPr>
          <w:rFonts w:ascii="Times New Roman" w:hAnsi="Times New Roman" w:cs="Times New Roman"/>
          <w:color w:val="1C1C1C"/>
          <w:szCs w:val="24"/>
        </w:rPr>
        <w:t>DOI’s</w:t>
      </w:r>
      <w:proofErr w:type="spellEnd"/>
      <w:r w:rsidR="00A5563A">
        <w:rPr>
          <w:rFonts w:ascii="Times New Roman" w:hAnsi="Times New Roman" w:cs="Times New Roman"/>
          <w:color w:val="1C1C1C"/>
          <w:szCs w:val="24"/>
        </w:rPr>
        <w:t xml:space="preserve"> (</w:t>
      </w:r>
      <w:proofErr w:type="spellStart"/>
      <w:r w:rsidR="00A5563A" w:rsidRPr="001D24B1">
        <w:rPr>
          <w:rFonts w:ascii="Times New Roman" w:hAnsi="Times New Roman" w:cs="Times New Roman"/>
          <w:i/>
          <w:color w:val="1C1C1C"/>
          <w:szCs w:val="24"/>
        </w:rPr>
        <w:t>Departmentofthe</w:t>
      </w:r>
      <w:proofErr w:type="spellEnd"/>
      <w:r w:rsidR="00A5563A" w:rsidRPr="001D24B1">
        <w:rPr>
          <w:rFonts w:ascii="Times New Roman" w:hAnsi="Times New Roman" w:cs="Times New Roman"/>
          <w:i/>
          <w:color w:val="1C1C1C"/>
          <w:szCs w:val="24"/>
        </w:rPr>
        <w:t xml:space="preserve"> Interior</w:t>
      </w:r>
      <w:r w:rsidR="00A5563A">
        <w:rPr>
          <w:rFonts w:ascii="Times New Roman" w:hAnsi="Times New Roman" w:cs="Times New Roman"/>
          <w:color w:val="1C1C1C"/>
          <w:szCs w:val="24"/>
        </w:rPr>
        <w:t xml:space="preserve">) após a tragédia de </w:t>
      </w:r>
      <w:proofErr w:type="spellStart"/>
      <w:r w:rsidR="00A5563A">
        <w:rPr>
          <w:rFonts w:ascii="Times New Roman" w:hAnsi="Times New Roman" w:cs="Times New Roman"/>
          <w:color w:val="1C1C1C"/>
          <w:szCs w:val="24"/>
        </w:rPr>
        <w:t>Macondo</w:t>
      </w:r>
      <w:proofErr w:type="spellEnd"/>
      <w:r w:rsidR="00A5563A">
        <w:rPr>
          <w:rFonts w:ascii="Times New Roman" w:hAnsi="Times New Roman" w:cs="Times New Roman"/>
          <w:color w:val="1C1C1C"/>
          <w:szCs w:val="24"/>
        </w:rPr>
        <w:t xml:space="preserve"> com a sonda </w:t>
      </w:r>
      <w:proofErr w:type="spellStart"/>
      <w:r w:rsidR="00A5563A">
        <w:rPr>
          <w:rFonts w:ascii="Times New Roman" w:hAnsi="Times New Roman" w:cs="Times New Roman"/>
          <w:color w:val="1C1C1C"/>
          <w:szCs w:val="24"/>
        </w:rPr>
        <w:t>semissubmersível</w:t>
      </w:r>
      <w:proofErr w:type="spellEnd"/>
      <w:r w:rsidR="00A5563A">
        <w:rPr>
          <w:rFonts w:ascii="Times New Roman" w:hAnsi="Times New Roman" w:cs="Times New Roman"/>
          <w:color w:val="1C1C1C"/>
          <w:szCs w:val="24"/>
        </w:rPr>
        <w:t xml:space="preserve"> </w:t>
      </w:r>
      <w:proofErr w:type="spellStart"/>
      <w:r w:rsidR="00A5563A" w:rsidRPr="001D24B1">
        <w:rPr>
          <w:rFonts w:ascii="Times New Roman" w:hAnsi="Times New Roman" w:cs="Times New Roman"/>
          <w:i/>
          <w:color w:val="1C1C1C"/>
          <w:szCs w:val="24"/>
        </w:rPr>
        <w:t>DeepwaterHorizon</w:t>
      </w:r>
      <w:proofErr w:type="spellEnd"/>
      <w:r w:rsidR="007D0BCA" w:rsidRPr="00161795">
        <w:rPr>
          <w:rFonts w:ascii="Times New Roman" w:hAnsi="Times New Roman" w:cs="Times New Roman"/>
          <w:color w:val="1C1C1C"/>
          <w:szCs w:val="24"/>
        </w:rPr>
        <w:fldChar w:fldCharType="begin" w:fldLock="1"/>
      </w:r>
      <w:r w:rsidR="0016082D">
        <w:rPr>
          <w:rFonts w:ascii="Times New Roman" w:hAnsi="Times New Roman" w:cs="Times New Roman"/>
          <w:color w:val="1C1C1C"/>
          <w:szCs w:val="24"/>
        </w:rPr>
        <w:instrText>ADDIN CSL_CITATION {"citationItems":[{"id":"ITEM-1","itemData":{"URL":"https://www.bsee.gov/who-we-are/about-us","accessed":{"date-parts":[["2018","5","16"]]},"author":[{"dropping-particle":"","family":"BSEE (Bureau of Safety and Environmental Enforcement)","given":"","non-dropping-particle":"","parse-names":false,"suffix":""}],"id":"ITEM-1","issued":{"date-parts":[["2018"]]},"title":"About Us","type":"webpage"},"uris":["http://www.mendeley.com/documents/?uuid=6e0636a4-8568-43f1-a684-1a7e99b85ce7"]}],"mendeley":{"formattedCitation":"[8]","plainTextFormattedCitation":"[8]","previouslyFormattedCitation":"[8]"},"properties":{"noteIndex":0},"schema":"https://github.com/citation-style-language/schema/raw/master/csl-citation.json"}</w:instrText>
      </w:r>
      <w:r w:rsidR="007D0BCA" w:rsidRPr="00161795">
        <w:rPr>
          <w:rFonts w:ascii="Times New Roman" w:hAnsi="Times New Roman" w:cs="Times New Roman"/>
          <w:color w:val="1C1C1C"/>
          <w:szCs w:val="24"/>
        </w:rPr>
        <w:fldChar w:fldCharType="separate"/>
      </w:r>
      <w:r w:rsidR="00161795" w:rsidRPr="00161795">
        <w:rPr>
          <w:rFonts w:ascii="Times New Roman" w:hAnsi="Times New Roman" w:cs="Times New Roman"/>
          <w:noProof/>
          <w:color w:val="1C1C1C"/>
          <w:szCs w:val="24"/>
        </w:rPr>
        <w:t>[8]</w:t>
      </w:r>
      <w:r w:rsidR="007D0BCA" w:rsidRPr="00161795">
        <w:rPr>
          <w:rFonts w:ascii="Times New Roman" w:hAnsi="Times New Roman" w:cs="Times New Roman"/>
          <w:color w:val="1C1C1C"/>
          <w:szCs w:val="24"/>
        </w:rPr>
        <w:fldChar w:fldCharType="end"/>
      </w:r>
      <w:r w:rsidR="001D24B1" w:rsidRPr="001D24B1">
        <w:rPr>
          <w:rFonts w:ascii="Times New Roman" w:hAnsi="Times New Roman" w:cs="Times New Roman"/>
          <w:color w:val="1C1C1C"/>
          <w:szCs w:val="24"/>
        </w:rPr>
        <w:t>.</w:t>
      </w:r>
      <w:r w:rsidR="00E055D8">
        <w:rPr>
          <w:rFonts w:ascii="Times New Roman" w:hAnsi="Times New Roman" w:cs="Times New Roman"/>
          <w:color w:val="1C1C1C"/>
          <w:szCs w:val="24"/>
        </w:rPr>
        <w:t>O BSEE promoveu uma extensa revisão dos procedimentos de segurança previstos na legislação americana, tendo o documento final adotado</w:t>
      </w:r>
      <w:r w:rsidR="00600E2F">
        <w:rPr>
          <w:rFonts w:ascii="Times New Roman" w:hAnsi="Times New Roman" w:cs="Times New Roman"/>
          <w:color w:val="1C1C1C"/>
          <w:szCs w:val="24"/>
        </w:rPr>
        <w:t xml:space="preserve"> como obrigatórios,</w:t>
      </w:r>
      <w:r w:rsidR="00E055D8">
        <w:rPr>
          <w:rFonts w:ascii="Times New Roman" w:hAnsi="Times New Roman" w:cs="Times New Roman"/>
          <w:color w:val="1C1C1C"/>
          <w:szCs w:val="24"/>
        </w:rPr>
        <w:t xml:space="preserve"> total ou parcialmente, </w:t>
      </w:r>
      <w:r w:rsidR="00600E2F">
        <w:rPr>
          <w:rFonts w:ascii="Times New Roman" w:hAnsi="Times New Roman" w:cs="Times New Roman"/>
          <w:color w:val="1C1C1C"/>
          <w:szCs w:val="24"/>
        </w:rPr>
        <w:t>diversos</w:t>
      </w:r>
      <w:r w:rsidR="00E055D8">
        <w:rPr>
          <w:rFonts w:ascii="Times New Roman" w:hAnsi="Times New Roman" w:cs="Times New Roman"/>
          <w:color w:val="1C1C1C"/>
          <w:szCs w:val="24"/>
        </w:rPr>
        <w:t xml:space="preserve"> padrões e normas </w:t>
      </w:r>
      <w:r w:rsidR="00600E2F">
        <w:rPr>
          <w:rFonts w:ascii="Times New Roman" w:hAnsi="Times New Roman" w:cs="Times New Roman"/>
          <w:color w:val="1C1C1C"/>
          <w:szCs w:val="24"/>
        </w:rPr>
        <w:t>industriais</w:t>
      </w:r>
      <w:r w:rsidR="007D0BCA" w:rsidRPr="001D24B1">
        <w:rPr>
          <w:rFonts w:ascii="Times New Roman" w:hAnsi="Times New Roman" w:cs="Times New Roman"/>
          <w:color w:val="1C1C1C"/>
          <w:szCs w:val="24"/>
        </w:rPr>
        <w:fldChar w:fldCharType="begin" w:fldLock="1"/>
      </w:r>
      <w:r w:rsidR="0016082D">
        <w:rPr>
          <w:rFonts w:ascii="Times New Roman" w:hAnsi="Times New Roman" w:cs="Times New Roman"/>
          <w:color w:val="1C1C1C"/>
          <w:szCs w:val="24"/>
        </w:rPr>
        <w:instrText>ADDIN CSL_CITATION {"citationItems":[{"id":"ITEM-1","itemData":{"author":[{"dropping-particle":"","family":"BSEE","given":"","non-dropping-particle":"","parse-names":false,"suffix":""}],"id":"ITEM-1","issue":"25","issued":{"date-parts":[["2016"]]},"page":"1-75","title":"Part III Department of the Interior","type":"article-journal","volume":"78"},"uris":["http://www.mendeley.com/documents/?uuid=7ede97ae-2770-4863-89aa-e34e459da40d"]}],"mendeley":{"formattedCitation":"[9]","plainTextFormattedCitation":"[9]","previouslyFormattedCitation":"[9]"},"properties":{"noteIndex":0},"schema":"https://github.com/citation-style-language/schema/raw/master/csl-citation.json"}</w:instrText>
      </w:r>
      <w:r w:rsidR="007D0BCA" w:rsidRPr="001D24B1">
        <w:rPr>
          <w:rFonts w:ascii="Times New Roman" w:hAnsi="Times New Roman" w:cs="Times New Roman"/>
          <w:color w:val="1C1C1C"/>
          <w:szCs w:val="24"/>
        </w:rPr>
        <w:fldChar w:fldCharType="separate"/>
      </w:r>
      <w:r w:rsidR="00161795" w:rsidRPr="00161795">
        <w:rPr>
          <w:rFonts w:ascii="Times New Roman" w:hAnsi="Times New Roman" w:cs="Times New Roman"/>
          <w:noProof/>
          <w:color w:val="1C1C1C"/>
          <w:szCs w:val="24"/>
        </w:rPr>
        <w:t>[9]</w:t>
      </w:r>
      <w:r w:rsidR="007D0BCA" w:rsidRPr="001D24B1">
        <w:rPr>
          <w:rFonts w:ascii="Times New Roman" w:hAnsi="Times New Roman" w:cs="Times New Roman"/>
          <w:color w:val="1C1C1C"/>
          <w:szCs w:val="24"/>
        </w:rPr>
        <w:fldChar w:fldCharType="end"/>
      </w:r>
      <w:r w:rsidR="00600E2F">
        <w:rPr>
          <w:rFonts w:ascii="Times New Roman" w:hAnsi="Times New Roman" w:cs="Times New Roman"/>
          <w:color w:val="1C1C1C"/>
          <w:szCs w:val="24"/>
        </w:rPr>
        <w:t>, como segue:</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American Petroleum Institute (API) Standard 53, Blowout Prevention Equipment Systems for Drilling Wells, Fourth Edition, November 2012;</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API Recommended Practice (RP) 2RD—Design of Risers for Floating Production Systems and Tension-Leg Platforms, First Edition, June 1998; Reaffirmed May 2006, Errata June 2009;</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API Specification (Spec.) Q1— Specification for Quality Management System Requirements for Manufacturing Organizations for the Petroleum and Natural Gas Industry, Eighth Edition, December 2007, Effective Date: June 15, 2008;</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American National Standards Institute (ANSI)/API Specification (Spec.) 11D1, Packers and Bridge Plugs Second Edition, Effective Date: January 1, 2010;</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API RP 17H, Remotely Operated Tools and Interfaces on Subsea Production Systems, First Edition, July 2004, Reaffirmed: January 2009;</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ANSI/API Spec. 6A, Specification for Wellhead and Christmas Tree Equipment, Nineteenth Edition, July 2004; Effective Date: February 1, 2005;</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ANSI/API Spec. 16A, Specification for Drill-through Equipment, Third Edition, June 2004;</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API Spec. 16C, Specification for Choke and Kill Systems First Edition, January 1993;</w:t>
      </w:r>
    </w:p>
    <w:p w:rsidR="00E055D8" w:rsidRPr="00E055D8"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 xml:space="preserve">API Spec. 16D, Specification for Control Systems for Drilling Well Control Equipment and Control Systems for Diverter Equipment, Second Edition, July 2004; </w:t>
      </w:r>
      <w:r>
        <w:rPr>
          <w:rFonts w:ascii="Times New Roman" w:hAnsi="Times New Roman" w:cs="Times New Roman"/>
          <w:color w:val="1C1C1C"/>
          <w:szCs w:val="24"/>
          <w:lang w:val="en-US"/>
        </w:rPr>
        <w:t>e</w:t>
      </w:r>
    </w:p>
    <w:p w:rsidR="00E71D62" w:rsidRDefault="00E055D8" w:rsidP="00E055D8">
      <w:pPr>
        <w:pStyle w:val="PargrafodaLista"/>
        <w:numPr>
          <w:ilvl w:val="0"/>
          <w:numId w:val="19"/>
        </w:numPr>
        <w:jc w:val="both"/>
        <w:rPr>
          <w:rFonts w:ascii="Times New Roman" w:hAnsi="Times New Roman" w:cs="Times New Roman"/>
          <w:color w:val="1C1C1C"/>
          <w:szCs w:val="24"/>
          <w:lang w:val="en-US"/>
        </w:rPr>
      </w:pPr>
      <w:r w:rsidRPr="00E055D8">
        <w:rPr>
          <w:rFonts w:ascii="Times New Roman" w:hAnsi="Times New Roman" w:cs="Times New Roman"/>
          <w:color w:val="1C1C1C"/>
          <w:szCs w:val="24"/>
          <w:lang w:val="en-US"/>
        </w:rPr>
        <w:t>ANSI/API Spec. 17D, Design and Operation of Subsea Production Systems—Subsea Wellhead and Tree Equipment, Second Edition; May 2011.</w:t>
      </w:r>
    </w:p>
    <w:p w:rsidR="00A4649C" w:rsidRPr="00A4649C" w:rsidRDefault="00A4649C" w:rsidP="00A4649C">
      <w:pPr>
        <w:jc w:val="both"/>
        <w:rPr>
          <w:rFonts w:ascii="Times New Roman" w:hAnsi="Times New Roman" w:cs="Times New Roman"/>
          <w:color w:val="1C1C1C"/>
          <w:szCs w:val="24"/>
        </w:rPr>
      </w:pPr>
      <w:r w:rsidRPr="00A4649C">
        <w:rPr>
          <w:rFonts w:ascii="Times New Roman" w:hAnsi="Times New Roman" w:cs="Times New Roman"/>
          <w:color w:val="1C1C1C"/>
          <w:szCs w:val="24"/>
        </w:rPr>
        <w:t>A questão que se c</w:t>
      </w:r>
      <w:r>
        <w:rPr>
          <w:rFonts w:ascii="Times New Roman" w:hAnsi="Times New Roman" w:cs="Times New Roman"/>
          <w:color w:val="1C1C1C"/>
          <w:szCs w:val="24"/>
        </w:rPr>
        <w:t xml:space="preserve">oloca, consequentemente, diz respeito ao estabelecimento de uma lente capaz de comparar as diferentes abordagens citadas. </w:t>
      </w:r>
      <w:r w:rsidR="00184DEA">
        <w:rPr>
          <w:rFonts w:ascii="Times New Roman" w:hAnsi="Times New Roman" w:cs="Times New Roman"/>
          <w:color w:val="1C1C1C"/>
          <w:szCs w:val="24"/>
        </w:rPr>
        <w:t>Por considerar</w:t>
      </w:r>
      <w:r w:rsidR="00184DEA" w:rsidRPr="00184DEA">
        <w:rPr>
          <w:rFonts w:ascii="Times New Roman" w:hAnsi="Times New Roman" w:cs="Times New Roman"/>
          <w:color w:val="1C1C1C"/>
          <w:szCs w:val="24"/>
        </w:rPr>
        <w:t xml:space="preserve"> que o aprendizado e o comportamento são dependentes de dimensões sociais para sua </w:t>
      </w:r>
      <w:r w:rsidR="00184DEA">
        <w:rPr>
          <w:rFonts w:ascii="Times New Roman" w:hAnsi="Times New Roman" w:cs="Times New Roman"/>
          <w:color w:val="1C1C1C"/>
          <w:szCs w:val="24"/>
        </w:rPr>
        <w:t xml:space="preserve">sustentação, </w:t>
      </w:r>
      <w:r>
        <w:rPr>
          <w:rFonts w:ascii="Times New Roman" w:hAnsi="Times New Roman" w:cs="Times New Roman"/>
          <w:color w:val="1C1C1C"/>
          <w:szCs w:val="24"/>
        </w:rPr>
        <w:t xml:space="preserve">Morais </w:t>
      </w:r>
      <w:proofErr w:type="spellStart"/>
      <w:r>
        <w:rPr>
          <w:rFonts w:ascii="Times New Roman" w:hAnsi="Times New Roman" w:cs="Times New Roman"/>
          <w:color w:val="1C1C1C"/>
          <w:szCs w:val="24"/>
        </w:rPr>
        <w:t>et</w:t>
      </w:r>
      <w:proofErr w:type="spellEnd"/>
      <w:r>
        <w:rPr>
          <w:rFonts w:ascii="Times New Roman" w:hAnsi="Times New Roman" w:cs="Times New Roman"/>
          <w:color w:val="1C1C1C"/>
          <w:szCs w:val="24"/>
        </w:rPr>
        <w:t xml:space="preserve"> </w:t>
      </w:r>
      <w:proofErr w:type="spellStart"/>
      <w:r>
        <w:rPr>
          <w:rFonts w:ascii="Times New Roman" w:hAnsi="Times New Roman" w:cs="Times New Roman"/>
          <w:color w:val="1C1C1C"/>
          <w:szCs w:val="24"/>
        </w:rPr>
        <w:t>all</w:t>
      </w:r>
      <w:proofErr w:type="spellEnd"/>
      <w:r w:rsidR="007D0BCA">
        <w:rPr>
          <w:rFonts w:ascii="Times New Roman" w:hAnsi="Times New Roman" w:cs="Times New Roman"/>
          <w:color w:val="1C1C1C"/>
          <w:szCs w:val="24"/>
        </w:rPr>
        <w:fldChar w:fldCharType="begin" w:fldLock="1"/>
      </w:r>
      <w:r w:rsidR="00120F8E">
        <w:rPr>
          <w:rFonts w:ascii="Times New Roman" w:hAnsi="Times New Roman" w:cs="Times New Roman"/>
          <w:color w:val="1C1C1C"/>
          <w:szCs w:val="24"/>
        </w:rPr>
        <w:instrText>ADDIN CSL_CITATION {"citationItems":[{"id":"ITEM-1","itemData":{"author":[{"dropping-particle":"","family":"Morais","given":"Carlos H B","non-dropping-particle":"","parse-names":false,"suffix":""},{"dropping-particle":"","family":"Abreu","given":"Danilo T M P","non-dropping-particle":"","parse-names":false,"suffix":""},{"dropping-particle":"","family":"Santos","given":"Joaquim R","non-dropping-particle":"","parse-names":false,"suffix":""},{"dropping-particle":"","family":"Maturana","given":"Marcos C","non-dropping-particle":"","parse-names":false,"suffix":""},{"dropping-particle":"","family":"Colombo","given":"Danilo","non-dropping-particle":"","parse-names":false,"suffix":""},{"dropping-particle":"","family":"Martins","given":"Marcelo R","non-dropping-particle":"","parse-names":false,"suffix":""}],"container-title":"Proceedings of the ASME 2019 38th International Conference on Ocean, Offshore &amp; Arctic Engineering","id":"ITEM-1","issued":{"date-parts":[["2019"]]},"page":"1-8","publisher":"ASME","title":"The Influence of Non-Pescriptive Legislation in the Evolution of Offshore Well Integrity Practices: An Exploratory Review","type":"paper-conference"},"uris":["http://www.mendeley.com/documents/?uuid=4aff4e92-8bb9-3e99-bc3e-75d4aebd0e08"]}],"mendeley":{"formattedCitation":"[10]","plainTextFormattedCitation":"[10]","previouslyFormattedCitation":"[10]"},"properties":{"noteIndex":0},"schema":"https://github.com/citation-style-language/schema/raw/master/csl-citation.json"}</w:instrText>
      </w:r>
      <w:r w:rsidR="007D0BCA">
        <w:rPr>
          <w:rFonts w:ascii="Times New Roman" w:hAnsi="Times New Roman" w:cs="Times New Roman"/>
          <w:color w:val="1C1C1C"/>
          <w:szCs w:val="24"/>
        </w:rPr>
        <w:fldChar w:fldCharType="separate"/>
      </w:r>
      <w:r w:rsidR="006257BC" w:rsidRPr="006257BC">
        <w:rPr>
          <w:rFonts w:ascii="Times New Roman" w:hAnsi="Times New Roman" w:cs="Times New Roman"/>
          <w:noProof/>
          <w:color w:val="1C1C1C"/>
          <w:szCs w:val="24"/>
        </w:rPr>
        <w:t>[10]</w:t>
      </w:r>
      <w:r w:rsidR="007D0BCA">
        <w:rPr>
          <w:rFonts w:ascii="Times New Roman" w:hAnsi="Times New Roman" w:cs="Times New Roman"/>
          <w:color w:val="1C1C1C"/>
          <w:szCs w:val="24"/>
        </w:rPr>
        <w:fldChar w:fldCharType="end"/>
      </w:r>
      <w:r>
        <w:rPr>
          <w:rFonts w:ascii="Times New Roman" w:hAnsi="Times New Roman" w:cs="Times New Roman"/>
          <w:color w:val="1C1C1C"/>
          <w:szCs w:val="24"/>
        </w:rPr>
        <w:t xml:space="preserve"> sugere o emprego do modelo </w:t>
      </w:r>
      <w:proofErr w:type="spellStart"/>
      <w:r>
        <w:rPr>
          <w:rFonts w:ascii="Times New Roman" w:hAnsi="Times New Roman" w:cs="Times New Roman"/>
          <w:color w:val="1C1C1C"/>
          <w:szCs w:val="24"/>
        </w:rPr>
        <w:t>triádico</w:t>
      </w:r>
      <w:proofErr w:type="spellEnd"/>
      <w:r>
        <w:rPr>
          <w:rFonts w:ascii="Times New Roman" w:hAnsi="Times New Roman" w:cs="Times New Roman"/>
          <w:color w:val="1C1C1C"/>
          <w:szCs w:val="24"/>
        </w:rPr>
        <w:t xml:space="preserve"> da Teoria da </w:t>
      </w:r>
      <w:r>
        <w:rPr>
          <w:rFonts w:ascii="Times New Roman" w:hAnsi="Times New Roman" w:cs="Times New Roman"/>
          <w:color w:val="1C1C1C"/>
          <w:szCs w:val="24"/>
        </w:rPr>
        <w:lastRenderedPageBreak/>
        <w:t>Cognição Social</w:t>
      </w:r>
      <w:r w:rsidR="00E0491D">
        <w:rPr>
          <w:rFonts w:ascii="Times New Roman" w:hAnsi="Times New Roman" w:cs="Times New Roman"/>
          <w:color w:val="1C1C1C"/>
          <w:szCs w:val="24"/>
        </w:rPr>
        <w:t xml:space="preserve"> (ou SCT do inglês Social </w:t>
      </w:r>
      <w:proofErr w:type="spellStart"/>
      <w:r w:rsidR="00E0491D">
        <w:rPr>
          <w:rFonts w:ascii="Times New Roman" w:hAnsi="Times New Roman" w:cs="Times New Roman"/>
          <w:color w:val="1C1C1C"/>
          <w:szCs w:val="24"/>
        </w:rPr>
        <w:t>CognitionTheory</w:t>
      </w:r>
      <w:proofErr w:type="spellEnd"/>
      <w:r w:rsidR="00E0491D">
        <w:rPr>
          <w:rFonts w:ascii="Times New Roman" w:hAnsi="Times New Roman" w:cs="Times New Roman"/>
          <w:color w:val="1C1C1C"/>
          <w:szCs w:val="24"/>
        </w:rPr>
        <w:t xml:space="preserve">) </w:t>
      </w:r>
      <w:r w:rsidR="007D0BCA" w:rsidRPr="00E0491D">
        <w:rPr>
          <w:rFonts w:ascii="Times New Roman" w:hAnsi="Times New Roman" w:cs="Times New Roman"/>
          <w:color w:val="1C1C1C"/>
          <w:szCs w:val="24"/>
        </w:rPr>
        <w:fldChar w:fldCharType="begin" w:fldLock="1"/>
      </w:r>
      <w:r w:rsidR="00120F8E">
        <w:rPr>
          <w:rFonts w:ascii="Times New Roman" w:hAnsi="Times New Roman" w:cs="Times New Roman"/>
          <w:color w:val="1C1C1C"/>
          <w:szCs w:val="24"/>
        </w:rPr>
        <w:instrText>ADDIN CSL_CITATION {"citationItems":[{"id":"ITEM-1","itemData":{"author":[{"dropping-particle":"","family":"Bandura","given":"A.","non-dropping-particle":"","parse-names":false,"suffix":""}],"id":"ITEM-1","issued":{"date-parts":[["1986"]]},"publisher":"Prentice Hall","publisher-place":"Englewoof Cliffs, NJ","title":"Social Foundations of Thought and Action: a social cognitive theory","type":"book"},"uris":["http://www.mendeley.com/documents/?uuid=ba6786d6-04d2-4b9d-9802-d9048d9741f8"]}],"mendeley":{"formattedCitation":"[11]","plainTextFormattedCitation":"[11]","previouslyFormattedCitation":"[11]"},"properties":{"noteIndex":0},"schema":"https://github.com/citation-style-language/schema/raw/master/csl-citation.json"}</w:instrText>
      </w:r>
      <w:r w:rsidR="007D0BCA" w:rsidRPr="00E0491D">
        <w:rPr>
          <w:rFonts w:ascii="Times New Roman" w:hAnsi="Times New Roman" w:cs="Times New Roman"/>
          <w:color w:val="1C1C1C"/>
          <w:szCs w:val="24"/>
        </w:rPr>
        <w:fldChar w:fldCharType="separate"/>
      </w:r>
      <w:r w:rsidR="006257BC" w:rsidRPr="006257BC">
        <w:rPr>
          <w:rFonts w:ascii="Times New Roman" w:hAnsi="Times New Roman" w:cs="Times New Roman"/>
          <w:noProof/>
          <w:color w:val="1C1C1C"/>
          <w:szCs w:val="24"/>
        </w:rPr>
        <w:t>[11]</w:t>
      </w:r>
      <w:r w:rsidR="007D0BCA" w:rsidRPr="00E0491D">
        <w:rPr>
          <w:rFonts w:ascii="Times New Roman" w:hAnsi="Times New Roman" w:cs="Times New Roman"/>
          <w:color w:val="1C1C1C"/>
          <w:szCs w:val="24"/>
        </w:rPr>
        <w:fldChar w:fldCharType="end"/>
      </w:r>
      <w:r>
        <w:rPr>
          <w:rFonts w:ascii="Times New Roman" w:hAnsi="Times New Roman" w:cs="Times New Roman"/>
          <w:color w:val="1C1C1C"/>
          <w:szCs w:val="24"/>
        </w:rPr>
        <w:t xml:space="preserve">, adaptado por </w:t>
      </w:r>
      <w:proofErr w:type="spellStart"/>
      <w:r>
        <w:rPr>
          <w:rFonts w:ascii="Times New Roman" w:hAnsi="Times New Roman" w:cs="Times New Roman"/>
          <w:color w:val="1C1C1C"/>
          <w:szCs w:val="24"/>
        </w:rPr>
        <w:t>Barini</w:t>
      </w:r>
      <w:proofErr w:type="spellEnd"/>
      <w:r>
        <w:rPr>
          <w:rFonts w:ascii="Times New Roman" w:hAnsi="Times New Roman" w:cs="Times New Roman"/>
          <w:color w:val="1C1C1C"/>
          <w:szCs w:val="24"/>
        </w:rPr>
        <w:t xml:space="preserve"> Filho </w:t>
      </w:r>
      <w:r w:rsidRPr="00A4649C">
        <w:rPr>
          <w:rFonts w:ascii="Times New Roman" w:hAnsi="Times New Roman" w:cs="Times New Roman"/>
          <w:color w:val="1C1C1C"/>
          <w:szCs w:val="24"/>
        </w:rPr>
        <w:t>[9]</w:t>
      </w:r>
      <w:r w:rsidR="00184DEA">
        <w:rPr>
          <w:rFonts w:ascii="Times New Roman" w:hAnsi="Times New Roman" w:cs="Times New Roman"/>
          <w:color w:val="1C1C1C"/>
          <w:szCs w:val="24"/>
        </w:rPr>
        <w:t>, para este fim.</w:t>
      </w:r>
      <w:r>
        <w:rPr>
          <w:rFonts w:ascii="Times New Roman" w:hAnsi="Times New Roman" w:cs="Times New Roman"/>
          <w:color w:val="1C1C1C"/>
          <w:szCs w:val="24"/>
        </w:rPr>
        <w:t xml:space="preserve"> O modelo se encontra ilustrado na </w:t>
      </w:r>
      <w:fldSimple w:instr=" REF _Ref22297647 \h  \* MERGEFORMAT ">
        <w:r w:rsidRPr="00A4649C">
          <w:rPr>
            <w:rFonts w:ascii="Times New Roman" w:hAnsi="Times New Roman" w:cs="Times New Roman"/>
          </w:rPr>
          <w:t xml:space="preserve">Figura </w:t>
        </w:r>
        <w:r w:rsidRPr="00A4649C">
          <w:rPr>
            <w:rFonts w:ascii="Times New Roman" w:hAnsi="Times New Roman" w:cs="Times New Roman"/>
            <w:noProof/>
          </w:rPr>
          <w:t>1</w:t>
        </w:r>
      </w:fldSimple>
      <w:r w:rsidRPr="00A4649C">
        <w:rPr>
          <w:rFonts w:ascii="Times New Roman" w:hAnsi="Times New Roman" w:cs="Times New Roman"/>
          <w:color w:val="1C1C1C"/>
          <w:szCs w:val="24"/>
        </w:rPr>
        <w:t>.</w:t>
      </w:r>
    </w:p>
    <w:p w:rsidR="00E71D62" w:rsidRPr="00E055D8" w:rsidRDefault="003113ED" w:rsidP="003113ED">
      <w:pPr>
        <w:jc w:val="center"/>
        <w:rPr>
          <w:lang w:val="en-US"/>
        </w:rPr>
      </w:pPr>
      <w:r>
        <w:rPr>
          <w:noProof/>
          <w:lang w:eastAsia="pt-BR"/>
        </w:rPr>
        <w:drawing>
          <wp:inline distT="0" distB="0" distL="0" distR="0">
            <wp:extent cx="2520000" cy="1503530"/>
            <wp:effectExtent l="0" t="0" r="0" b="190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20000" cy="1503530"/>
                    </a:xfrm>
                    <a:prstGeom prst="rect">
                      <a:avLst/>
                    </a:prstGeom>
                    <a:noFill/>
                  </pic:spPr>
                </pic:pic>
              </a:graphicData>
            </a:graphic>
          </wp:inline>
        </w:drawing>
      </w:r>
    </w:p>
    <w:p w:rsidR="00264671" w:rsidRPr="0016082D" w:rsidRDefault="0016082D" w:rsidP="0016082D">
      <w:pPr>
        <w:jc w:val="center"/>
        <w:rPr>
          <w:rFonts w:ascii="Times New Roman" w:hAnsi="Times New Roman" w:cs="Times New Roman"/>
        </w:rPr>
      </w:pPr>
      <w:bookmarkStart w:id="0" w:name="_Ref22297647"/>
      <w:r w:rsidRPr="00A4649C">
        <w:rPr>
          <w:rFonts w:ascii="Times New Roman" w:hAnsi="Times New Roman" w:cs="Times New Roman"/>
          <w:b/>
        </w:rPr>
        <w:t xml:space="preserve">Figura </w:t>
      </w:r>
      <w:r w:rsidR="007D0BCA" w:rsidRPr="00A4649C">
        <w:rPr>
          <w:rFonts w:ascii="Times New Roman" w:hAnsi="Times New Roman" w:cs="Times New Roman"/>
          <w:b/>
        </w:rPr>
        <w:fldChar w:fldCharType="begin"/>
      </w:r>
      <w:r w:rsidRPr="00A4649C">
        <w:rPr>
          <w:rFonts w:ascii="Times New Roman" w:hAnsi="Times New Roman" w:cs="Times New Roman"/>
          <w:b/>
        </w:rPr>
        <w:instrText xml:space="preserve"> SEQ Figura \* ARABIC </w:instrText>
      </w:r>
      <w:r w:rsidR="007D0BCA" w:rsidRPr="00A4649C">
        <w:rPr>
          <w:rFonts w:ascii="Times New Roman" w:hAnsi="Times New Roman" w:cs="Times New Roman"/>
          <w:b/>
        </w:rPr>
        <w:fldChar w:fldCharType="separate"/>
      </w:r>
      <w:r w:rsidRPr="00A4649C">
        <w:rPr>
          <w:rFonts w:ascii="Times New Roman" w:hAnsi="Times New Roman" w:cs="Times New Roman"/>
          <w:b/>
          <w:noProof/>
        </w:rPr>
        <w:t>1</w:t>
      </w:r>
      <w:r w:rsidR="007D0BCA" w:rsidRPr="00A4649C">
        <w:rPr>
          <w:rFonts w:ascii="Times New Roman" w:hAnsi="Times New Roman" w:cs="Times New Roman"/>
          <w:b/>
        </w:rPr>
        <w:fldChar w:fldCharType="end"/>
      </w:r>
      <w:bookmarkEnd w:id="0"/>
      <w:r>
        <w:rPr>
          <w:rFonts w:ascii="Times New Roman" w:hAnsi="Times New Roman" w:cs="Times New Roman"/>
        </w:rPr>
        <w:t xml:space="preserve">–Modelo da cognição social adaptado </w:t>
      </w:r>
      <w:r w:rsidRPr="0016082D">
        <w:rPr>
          <w:rFonts w:ascii="Times New Roman" w:hAnsi="Times New Roman" w:cs="Times New Roman"/>
        </w:rPr>
        <w:t>[9]</w:t>
      </w:r>
    </w:p>
    <w:p w:rsidR="00C102C7" w:rsidRDefault="00CB006B" w:rsidP="00D30605">
      <w:pPr>
        <w:pStyle w:val="Ttulo1"/>
        <w:numPr>
          <w:ilvl w:val="0"/>
          <w:numId w:val="16"/>
        </w:numPr>
      </w:pPr>
      <w:r>
        <w:t>RESULTADOS OBTIDOS</w:t>
      </w:r>
    </w:p>
    <w:p w:rsidR="005F3E9D" w:rsidRPr="00B67A49" w:rsidRDefault="005F3E9D" w:rsidP="005F3E9D">
      <w:pPr>
        <w:pStyle w:val="Recuodecorpodetexto"/>
        <w:ind w:firstLine="0"/>
        <w:rPr>
          <w:rFonts w:eastAsiaTheme="minorEastAsia"/>
          <w:color w:val="1C1C1C"/>
          <w:kern w:val="0"/>
          <w:sz w:val="22"/>
          <w:szCs w:val="24"/>
          <w:lang w:val="pt-BR"/>
        </w:rPr>
      </w:pPr>
      <w:r w:rsidRPr="005F3E9D">
        <w:rPr>
          <w:rFonts w:eastAsiaTheme="minorEastAsia"/>
          <w:color w:val="1C1C1C"/>
          <w:kern w:val="0"/>
          <w:sz w:val="22"/>
          <w:szCs w:val="24"/>
          <w:lang w:val="pt-BR"/>
        </w:rPr>
        <w:t>A pesquisa bibliográfica conduzida</w:t>
      </w:r>
      <w:r w:rsidR="00D754E7">
        <w:rPr>
          <w:rFonts w:eastAsiaTheme="minorEastAsia"/>
          <w:color w:val="1C1C1C"/>
          <w:kern w:val="0"/>
          <w:sz w:val="22"/>
          <w:szCs w:val="24"/>
          <w:lang w:val="pt-BR"/>
        </w:rPr>
        <w:t xml:space="preserve"> em </w:t>
      </w:r>
      <w:r w:rsidR="007D0BCA">
        <w:rPr>
          <w:color w:val="1C1C1C"/>
          <w:szCs w:val="24"/>
        </w:rPr>
        <w:fldChar w:fldCharType="begin" w:fldLock="1"/>
      </w:r>
      <w:r w:rsidR="00D754E7" w:rsidRPr="00D754E7">
        <w:rPr>
          <w:color w:val="1C1C1C"/>
          <w:szCs w:val="24"/>
          <w:lang w:val="pt-BR"/>
        </w:rPr>
        <w:instrText>ADDIN CSL_CITATION {"citationItems":[{"id":"ITEM-1","itemData":{"author":[{"dropping-particle":"","family":"Morais","given":"Carlos H B","non-dropping-particle":"","parse-names":false,"suffix":""},{"dropping-particle":"","family":"Abreu","given":"Danilo T M P","non-dropping-particle":"","parse-names":false,"suffix":""},{"dropping-particle":"","family":"Santos","given":"Joaquim R","non-dropping-particle":"","parse-names":false,"suffix":""},{"dropping-particle":"","family":"Maturana","given":"Marcos C","non-dropping-particle":"","parse-names":false,"suffix":""},{"dropping-particle":"","family":"Colombo","given":"Danilo","non-dropping-particle":"","parse-names":false,"suffix":""},{"dropping-particle":"","family":"Martins","given":"Marcelo R","non-dropping-particle":"","parse-names":false,"suffix":""}],"container-title":"Proceedings of the ASME 2019 38th International Conference on Ocean, Offshore &amp; Arctic Engineering","id":"ITEM-1","issued":{"date-parts":[["2019"]]},"page":"1-8","publisher":"ASME","title":"The Influence of Non-Pescriptive Legislation in the Evolution of Offshore Well Integrity Practices: An Exploratory Review","type":"paper-conference"},"uris":["http://www.mendeley.com/documents/?uuid=4aff4e92-8bb9-3e99-bc3e-75d4aebd0e08"]}],"mendeley":{"formattedCitation":"[10]","plainTextFormattedCitation":"[10]","previouslyFormattedCitation":"[10]"},"properties":{"noteIndex":0},"schema":"https://github.com/citation-style-language/schema/raw/master/csl-citation.json"}</w:instrText>
      </w:r>
      <w:r w:rsidR="007D0BCA">
        <w:rPr>
          <w:color w:val="1C1C1C"/>
          <w:szCs w:val="24"/>
        </w:rPr>
        <w:fldChar w:fldCharType="separate"/>
      </w:r>
      <w:r w:rsidR="00D754E7" w:rsidRPr="00D754E7">
        <w:rPr>
          <w:noProof/>
          <w:color w:val="1C1C1C"/>
          <w:szCs w:val="24"/>
          <w:lang w:val="pt-BR"/>
        </w:rPr>
        <w:t>[10]</w:t>
      </w:r>
      <w:r w:rsidR="007D0BCA">
        <w:rPr>
          <w:color w:val="1C1C1C"/>
          <w:szCs w:val="24"/>
        </w:rPr>
        <w:fldChar w:fldCharType="end"/>
      </w:r>
      <w:r w:rsidRPr="005F3E9D">
        <w:rPr>
          <w:rFonts w:eastAsiaTheme="minorEastAsia"/>
          <w:color w:val="1C1C1C"/>
          <w:kern w:val="0"/>
          <w:sz w:val="22"/>
          <w:szCs w:val="24"/>
          <w:lang w:val="pt-BR"/>
        </w:rPr>
        <w:t>i</w:t>
      </w:r>
      <w:r>
        <w:rPr>
          <w:rFonts w:eastAsiaTheme="minorEastAsia"/>
          <w:color w:val="1C1C1C"/>
          <w:kern w:val="0"/>
          <w:sz w:val="22"/>
          <w:szCs w:val="24"/>
          <w:lang w:val="pt-BR"/>
        </w:rPr>
        <w:t xml:space="preserve">dentificou que as operações offshore do segmento Óleo e Gás no Reino Unido, portanto sob jurisdição não-determinística, não apresentou fatalidades entre 2008 e 2011 e nem em 2013, com ocorrência de duas fatalidades em 2012 e uma em 2014 </w:t>
      </w:r>
      <w:r w:rsidR="007D0BCA" w:rsidRPr="00120F8E">
        <w:rPr>
          <w:rFonts w:eastAsiaTheme="minorEastAsia"/>
          <w:color w:val="1C1C1C"/>
          <w:kern w:val="0"/>
          <w:sz w:val="22"/>
          <w:szCs w:val="24"/>
          <w:lang w:val="pt-BR"/>
        </w:rPr>
        <w:fldChar w:fldCharType="begin" w:fldLock="1"/>
      </w:r>
      <w:r w:rsidRPr="005F3E9D">
        <w:rPr>
          <w:rFonts w:eastAsiaTheme="minorEastAsia"/>
          <w:color w:val="1C1C1C"/>
          <w:kern w:val="0"/>
          <w:sz w:val="22"/>
          <w:szCs w:val="24"/>
          <w:lang w:val="pt-BR"/>
        </w:rPr>
        <w:instrText>ADDIN CSL_CITATION {"citationItems":[{"id":"ITEM-1","itemData":{"DOI":"10.1016/j.jlp.2016.10.009","ISSN":"09504230","abstract":"Every major industrial accident such as Piper Alpha disaster, Exxon Valdez Oil Spill, BP Texas City Refinery led to the development of new regulations. After the BP Deepwater Horizon accident, several investigation committees recommended to reexamine the United States' existing regulatory approaches by integrating more sophisticated risk assessment and risk management practices. It has been observed that this type of reactive changes in regulation sometimes give more focus on the causes of a particular accident rather than considering possible future hazards unrelated to that particular accident. There are primarily two approaches of the offshore oil/gas industry's regulatory regime; while the United States' regulatory system is the more prescriptive-based, the United Kingdom's approach is performance-based. The National Commission on the BP Deepwater Horizon Oil Spill and Offshore Drilling Accident recommended changing U.S. regulatory regime to a proactive, risk-based approach which could be similar to the “Safety Case” approach of the North Sea. The “Safety Case” approach of the U.K. is considered successful in minimizing accidents in the North Sea region. The objective of this study is to perform an evaluation and comparison between the United States' prescriptive-based regulatory approaches and the United Kingdom's performance-based regulatory approaches to understand their advantages and disadvantages. Then, this study presents an analysis of major accident histories under both regulatory regimes and discusses their effectiveness in reducing accidents. The study has found that there are both advantages and disadvantages in both the regulatory regimes and with available data, it is difficult to conclude with certainty that one regulatory regime is better than the other.","author":[{"dropping-particle":"","family":"Barua","given":"Shubharthi","non-dropping-particle":"","parse-names":false,"suffix":""},{"dropping-particle":"","family":"Gao","given":"Xiaodan","non-dropping-particle":"","parse-names":false,"suffix":""},{"dropping-particle":"","family":"Mannan","given":"M. S.","non-dropping-particle":"","parse-names":false,"suffix":""}],"container-title":"Journal of Loss Prevention in the Process Industries","id":"ITEM-1","issued":{"date-parts":[["2016"]]},"page":"764-769","publisher":"Elsevier Ltd","title":"Comparison of prescriptive and performance-based regulatory regimes in the U.S.A and the U.K.","type":"article-journal","volume":"44"},"uris":["http://www.mendeley.com/documents/?uuid=83d4b520-aa18-4036-bd16-5312f53c62ca"]}],"mendeley":{"formattedCitation":"[12]","plainTextFormattedCitation":"[12]","previouslyFormattedCitation":"[12]"},"properties":{"noteIndex":0},"schema":"https://github.com/citation-style-language/schema/raw/master/csl-citation.json"}</w:instrText>
      </w:r>
      <w:r w:rsidR="007D0BCA" w:rsidRPr="00120F8E">
        <w:rPr>
          <w:rFonts w:eastAsiaTheme="minorEastAsia"/>
          <w:color w:val="1C1C1C"/>
          <w:kern w:val="0"/>
          <w:sz w:val="22"/>
          <w:szCs w:val="24"/>
          <w:lang w:val="pt-BR"/>
        </w:rPr>
        <w:fldChar w:fldCharType="separate"/>
      </w:r>
      <w:r w:rsidRPr="005F3E9D">
        <w:rPr>
          <w:rFonts w:eastAsiaTheme="minorEastAsia"/>
          <w:color w:val="1C1C1C"/>
          <w:kern w:val="0"/>
          <w:sz w:val="22"/>
          <w:szCs w:val="24"/>
          <w:lang w:val="pt-BR"/>
        </w:rPr>
        <w:t>[12]</w:t>
      </w:r>
      <w:r w:rsidR="007D0BCA" w:rsidRPr="00120F8E">
        <w:rPr>
          <w:rFonts w:eastAsiaTheme="minorEastAsia"/>
          <w:color w:val="1C1C1C"/>
          <w:kern w:val="0"/>
          <w:sz w:val="22"/>
          <w:szCs w:val="24"/>
          <w:lang w:val="pt-BR"/>
        </w:rPr>
        <w:fldChar w:fldCharType="end"/>
      </w:r>
      <w:r>
        <w:rPr>
          <w:rFonts w:eastAsiaTheme="minorEastAsia"/>
          <w:color w:val="1C1C1C"/>
          <w:kern w:val="0"/>
          <w:sz w:val="22"/>
          <w:szCs w:val="24"/>
          <w:lang w:val="pt-BR"/>
        </w:rPr>
        <w:t xml:space="preserve">. Em contrapartida, e ainda que pese fortemente as causalidades decorrentes do </w:t>
      </w:r>
      <w:proofErr w:type="spellStart"/>
      <w:r w:rsidRPr="005F3E9D">
        <w:rPr>
          <w:rFonts w:eastAsiaTheme="minorEastAsia"/>
          <w:i/>
          <w:color w:val="1C1C1C"/>
          <w:kern w:val="0"/>
          <w:sz w:val="22"/>
          <w:szCs w:val="24"/>
          <w:lang w:val="pt-BR"/>
        </w:rPr>
        <w:t>blowout</w:t>
      </w:r>
      <w:proofErr w:type="spellEnd"/>
      <w:r>
        <w:rPr>
          <w:rFonts w:eastAsiaTheme="minorEastAsia"/>
          <w:color w:val="1C1C1C"/>
          <w:kern w:val="0"/>
          <w:sz w:val="22"/>
          <w:szCs w:val="24"/>
          <w:lang w:val="pt-BR"/>
        </w:rPr>
        <w:t xml:space="preserve"> de </w:t>
      </w:r>
      <w:proofErr w:type="spellStart"/>
      <w:r>
        <w:rPr>
          <w:rFonts w:eastAsiaTheme="minorEastAsia"/>
          <w:color w:val="1C1C1C"/>
          <w:kern w:val="0"/>
          <w:sz w:val="22"/>
          <w:szCs w:val="24"/>
          <w:lang w:val="pt-BR"/>
        </w:rPr>
        <w:t>Macondo</w:t>
      </w:r>
      <w:proofErr w:type="spellEnd"/>
      <w:r>
        <w:rPr>
          <w:rFonts w:eastAsiaTheme="minorEastAsia"/>
          <w:color w:val="1C1C1C"/>
          <w:kern w:val="0"/>
          <w:sz w:val="22"/>
          <w:szCs w:val="24"/>
          <w:lang w:val="pt-BR"/>
        </w:rPr>
        <w:t xml:space="preserve"> nas estatísticas </w:t>
      </w:r>
      <w:r w:rsidR="00DA2DD0">
        <w:rPr>
          <w:rFonts w:eastAsiaTheme="minorEastAsia"/>
          <w:color w:val="1C1C1C"/>
          <w:kern w:val="0"/>
          <w:sz w:val="22"/>
          <w:szCs w:val="24"/>
          <w:lang w:val="pt-BR"/>
        </w:rPr>
        <w:t xml:space="preserve">que se seguem, a média de fatalidades anual para operações do mesmo segmento nos Estados Unidos era de 8.7 entre 2008 e 2010 e 2.75 entre 2010 e 2014. Não há estudo similar para a realidade brasileira, sendo, no entanto, disponibilizado </w:t>
      </w:r>
      <w:r w:rsidR="00B67A49">
        <w:rPr>
          <w:rFonts w:eastAsiaTheme="minorEastAsia"/>
          <w:color w:val="1C1C1C"/>
          <w:kern w:val="0"/>
          <w:sz w:val="22"/>
          <w:szCs w:val="24"/>
          <w:lang w:val="pt-BR"/>
        </w:rPr>
        <w:t xml:space="preserve">pela ANP as taxas de fatalidade entre 2009 e 2017, </w:t>
      </w:r>
      <w:r w:rsidR="00B67A49" w:rsidRPr="00B67A49">
        <w:rPr>
          <w:rFonts w:eastAsiaTheme="minorEastAsia"/>
          <w:color w:val="1C1C1C"/>
          <w:kern w:val="0"/>
          <w:sz w:val="22"/>
          <w:szCs w:val="24"/>
          <w:lang w:val="pt-BR"/>
        </w:rPr>
        <w:t xml:space="preserve">reproduzidas na </w:t>
      </w:r>
      <w:fldSimple w:instr=" REF _Ref22746000 \h  \* MERGEFORMAT ">
        <w:r w:rsidR="00B67A49" w:rsidRPr="00B67A49">
          <w:rPr>
            <w:lang w:val="pt-BR"/>
          </w:rPr>
          <w:t xml:space="preserve">Figura </w:t>
        </w:r>
        <w:r w:rsidR="00B67A49" w:rsidRPr="00B67A49">
          <w:rPr>
            <w:noProof/>
            <w:lang w:val="pt-BR"/>
          </w:rPr>
          <w:t>2</w:t>
        </w:r>
      </w:fldSimple>
      <w:r w:rsidR="00B67A49" w:rsidRPr="00B67A49">
        <w:rPr>
          <w:rFonts w:eastAsiaTheme="minorEastAsia"/>
          <w:color w:val="1C1C1C"/>
          <w:kern w:val="0"/>
          <w:sz w:val="22"/>
          <w:szCs w:val="24"/>
          <w:lang w:val="pt-BR"/>
        </w:rPr>
        <w:t>.</w:t>
      </w:r>
    </w:p>
    <w:p w:rsidR="005F3E9D" w:rsidRPr="00B67A49" w:rsidRDefault="005F3E9D" w:rsidP="005F3E9D">
      <w:pPr>
        <w:pStyle w:val="Recuodecorpodetexto"/>
        <w:ind w:firstLine="0"/>
        <w:rPr>
          <w:rFonts w:eastAsiaTheme="minorEastAsia"/>
          <w:color w:val="1C1C1C"/>
          <w:kern w:val="0"/>
          <w:sz w:val="22"/>
          <w:szCs w:val="24"/>
          <w:lang w:val="pt-BR"/>
        </w:rPr>
      </w:pPr>
    </w:p>
    <w:p w:rsidR="00A4649C" w:rsidRPr="001C59CB" w:rsidRDefault="00A4649C" w:rsidP="00A4649C">
      <w:pPr>
        <w:pStyle w:val="Recuodecorpodetexto"/>
        <w:jc w:val="center"/>
        <w:rPr>
          <w:lang w:val="pt-BR"/>
        </w:rPr>
      </w:pPr>
      <w:r>
        <w:rPr>
          <w:noProof/>
          <w:lang w:val="pt-BR" w:eastAsia="pt-BR"/>
        </w:rPr>
        <w:drawing>
          <wp:inline distT="0" distB="0" distL="0" distR="0">
            <wp:extent cx="2736000" cy="1891266"/>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36000" cy="1891266"/>
                    </a:xfrm>
                    <a:prstGeom prst="rect">
                      <a:avLst/>
                    </a:prstGeom>
                    <a:noFill/>
                  </pic:spPr>
                </pic:pic>
              </a:graphicData>
            </a:graphic>
          </wp:inline>
        </w:drawing>
      </w:r>
    </w:p>
    <w:p w:rsidR="00120F8E" w:rsidRPr="00120F8E" w:rsidRDefault="00120F8E" w:rsidP="00120F8E">
      <w:pPr>
        <w:jc w:val="center"/>
        <w:rPr>
          <w:rFonts w:ascii="Times New Roman" w:hAnsi="Times New Roman" w:cs="Times New Roman"/>
        </w:rPr>
      </w:pPr>
      <w:bookmarkStart w:id="1" w:name="_Ref22746000"/>
      <w:r w:rsidRPr="00A4649C">
        <w:rPr>
          <w:rFonts w:ascii="Times New Roman" w:hAnsi="Times New Roman" w:cs="Times New Roman"/>
          <w:b/>
        </w:rPr>
        <w:t xml:space="preserve">Figura </w:t>
      </w:r>
      <w:r w:rsidR="007D0BCA" w:rsidRPr="00A4649C">
        <w:rPr>
          <w:rFonts w:ascii="Times New Roman" w:hAnsi="Times New Roman" w:cs="Times New Roman"/>
          <w:b/>
        </w:rPr>
        <w:fldChar w:fldCharType="begin"/>
      </w:r>
      <w:r w:rsidRPr="00A4649C">
        <w:rPr>
          <w:rFonts w:ascii="Times New Roman" w:hAnsi="Times New Roman" w:cs="Times New Roman"/>
          <w:b/>
        </w:rPr>
        <w:instrText xml:space="preserve"> SEQ Figura \* ARABIC </w:instrText>
      </w:r>
      <w:r w:rsidR="007D0BCA" w:rsidRPr="00A4649C">
        <w:rPr>
          <w:rFonts w:ascii="Times New Roman" w:hAnsi="Times New Roman" w:cs="Times New Roman"/>
          <w:b/>
        </w:rPr>
        <w:fldChar w:fldCharType="separate"/>
      </w:r>
      <w:r w:rsidR="005F3E9D">
        <w:rPr>
          <w:rFonts w:ascii="Times New Roman" w:hAnsi="Times New Roman" w:cs="Times New Roman"/>
          <w:b/>
          <w:noProof/>
        </w:rPr>
        <w:t>2</w:t>
      </w:r>
      <w:r w:rsidR="007D0BCA" w:rsidRPr="00A4649C">
        <w:rPr>
          <w:rFonts w:ascii="Times New Roman" w:hAnsi="Times New Roman" w:cs="Times New Roman"/>
          <w:b/>
        </w:rPr>
        <w:fldChar w:fldCharType="end"/>
      </w:r>
      <w:bookmarkEnd w:id="1"/>
      <w:r>
        <w:rPr>
          <w:rFonts w:ascii="Times New Roman" w:hAnsi="Times New Roman" w:cs="Times New Roman"/>
        </w:rPr>
        <w:t xml:space="preserve">–Taxa de fatalidades no Brasil no segmento offshore </w:t>
      </w:r>
      <w:r w:rsidR="007D0BCA" w:rsidRPr="00120F8E">
        <w:rPr>
          <w:rFonts w:ascii="Times New Roman" w:hAnsi="Times New Roman" w:cs="Times New Roman"/>
        </w:rPr>
        <w:fldChar w:fldCharType="begin" w:fldLock="1"/>
      </w:r>
      <w:r w:rsidRPr="00120F8E">
        <w:rPr>
          <w:rFonts w:ascii="Times New Roman" w:hAnsi="Times New Roman" w:cs="Times New Roman"/>
        </w:rPr>
        <w:instrText>ADDIN CSL_CITATION {"citationItems":[{"id":"ITEM-1","itemData":{"URL":"http://www.anp.gov.br/exploracao-e-producao-de-oleo-e-gas/seguranca-operacional-e-meio-ambiente/dados-de-desempenho/indicadores-de-desempenho","accessed":{"date-parts":[["2019","1","3"]]},"author":[{"dropping-particle":"","family":"ANP","given":"","non-dropping-particle":"","parse-names":false,"suffix":""}],"id":"ITEM-1","issued":{"date-parts":[["0"]]},"title":"Indicadores de desempenho anuais","type":"webpage"},"uris":["http://www.mendeley.com/documents/?uuid=929b28e1-8ca7-4e66-b086-e0ea6cbc53e2"]}],"mendeley":{"formattedCitation":"[13]","plainTextFormattedCitation":"[13]","previouslyFormattedCitation":"[20]"},"properties":{"noteIndex":0},"schema":"https://github.com/citation-style-language/schema/raw/master/csl-citation.json"}</w:instrText>
      </w:r>
      <w:r w:rsidR="007D0BCA" w:rsidRPr="00120F8E">
        <w:rPr>
          <w:rFonts w:ascii="Times New Roman" w:hAnsi="Times New Roman" w:cs="Times New Roman"/>
        </w:rPr>
        <w:fldChar w:fldCharType="separate"/>
      </w:r>
      <w:r w:rsidRPr="00120F8E">
        <w:rPr>
          <w:rFonts w:ascii="Times New Roman" w:hAnsi="Times New Roman" w:cs="Times New Roman"/>
        </w:rPr>
        <w:t>[13]</w:t>
      </w:r>
      <w:r w:rsidR="007D0BCA" w:rsidRPr="00120F8E">
        <w:rPr>
          <w:rFonts w:ascii="Times New Roman" w:hAnsi="Times New Roman" w:cs="Times New Roman"/>
        </w:rPr>
        <w:fldChar w:fldCharType="end"/>
      </w:r>
    </w:p>
    <w:p w:rsidR="00C102C7" w:rsidRDefault="00CB006B" w:rsidP="00D30605">
      <w:pPr>
        <w:pStyle w:val="Ttulo1"/>
        <w:numPr>
          <w:ilvl w:val="0"/>
          <w:numId w:val="16"/>
        </w:numPr>
      </w:pPr>
      <w:r>
        <w:t>DISCUSSÃO</w:t>
      </w:r>
    </w:p>
    <w:p w:rsidR="00120F8E" w:rsidRDefault="00D754E7" w:rsidP="00120F8E">
      <w:pPr>
        <w:jc w:val="both"/>
        <w:rPr>
          <w:rFonts w:ascii="Times New Roman" w:hAnsi="Times New Roman" w:cs="Times New Roman"/>
          <w:color w:val="1C1C1C"/>
          <w:szCs w:val="24"/>
        </w:rPr>
      </w:pPr>
      <w:r>
        <w:rPr>
          <w:rFonts w:ascii="Times New Roman" w:hAnsi="Times New Roman" w:cs="Times New Roman"/>
          <w:color w:val="1C1C1C"/>
          <w:szCs w:val="24"/>
        </w:rPr>
        <w:t xml:space="preserve">As legislações aqui analisadas podem </w:t>
      </w:r>
      <w:r w:rsidR="00CB7AA5">
        <w:rPr>
          <w:rFonts w:ascii="Times New Roman" w:hAnsi="Times New Roman" w:cs="Times New Roman"/>
          <w:color w:val="1C1C1C"/>
          <w:szCs w:val="24"/>
        </w:rPr>
        <w:t xml:space="preserve">ser agrupadas em três tipos: não-determinísticas, como é o caso dos </w:t>
      </w:r>
      <w:proofErr w:type="spellStart"/>
      <w:r w:rsidR="00CB7AA5" w:rsidRPr="00CB7AA5">
        <w:rPr>
          <w:rFonts w:ascii="Times New Roman" w:hAnsi="Times New Roman" w:cs="Times New Roman"/>
          <w:i/>
          <w:color w:val="1C1C1C"/>
          <w:szCs w:val="24"/>
        </w:rPr>
        <w:t>Safety</w:t>
      </w:r>
      <w:proofErr w:type="spellEnd"/>
      <w:r w:rsidR="00CB7AA5" w:rsidRPr="00CB7AA5">
        <w:rPr>
          <w:rFonts w:ascii="Times New Roman" w:hAnsi="Times New Roman" w:cs="Times New Roman"/>
          <w:i/>
          <w:color w:val="1C1C1C"/>
          <w:szCs w:val="24"/>
        </w:rPr>
        <w:t xml:space="preserve"> Cases</w:t>
      </w:r>
      <w:r w:rsidR="00CB7AA5">
        <w:rPr>
          <w:rFonts w:ascii="Times New Roman" w:hAnsi="Times New Roman" w:cs="Times New Roman"/>
          <w:color w:val="1C1C1C"/>
          <w:szCs w:val="24"/>
        </w:rPr>
        <w:t>; determinísticas, exemplificadas pelas normas americanas; e mistas, na qual enquadra-se a Resolução 46 da ANP.</w:t>
      </w:r>
      <w:r w:rsidR="00B63730">
        <w:rPr>
          <w:rFonts w:ascii="Times New Roman" w:hAnsi="Times New Roman" w:cs="Times New Roman"/>
          <w:color w:val="1C1C1C"/>
          <w:szCs w:val="24"/>
        </w:rPr>
        <w:t xml:space="preserve"> A </w:t>
      </w:r>
      <w:fldSimple w:instr=" REF _Ref22746752 \h  \* MERGEFORMAT ">
        <w:r w:rsidR="00B63730" w:rsidRPr="00B63730">
          <w:rPr>
            <w:rFonts w:ascii="Times New Roman" w:hAnsi="Times New Roman" w:cs="Times New Roman"/>
            <w:color w:val="1C1C1C"/>
            <w:szCs w:val="24"/>
          </w:rPr>
          <w:t>Tabela 1</w:t>
        </w:r>
      </w:fldSimple>
      <w:r w:rsidR="00B63730">
        <w:rPr>
          <w:rFonts w:ascii="Times New Roman" w:hAnsi="Times New Roman" w:cs="Times New Roman"/>
          <w:color w:val="1C1C1C"/>
          <w:szCs w:val="24"/>
        </w:rPr>
        <w:t xml:space="preserve">, adaptada de </w:t>
      </w:r>
      <w:r w:rsidR="007D0BCA">
        <w:rPr>
          <w:rFonts w:ascii="Times New Roman" w:hAnsi="Times New Roman" w:cs="Times New Roman"/>
          <w:color w:val="1C1C1C"/>
          <w:szCs w:val="24"/>
        </w:rPr>
        <w:fldChar w:fldCharType="begin" w:fldLock="1"/>
      </w:r>
      <w:r w:rsidR="00120F8E">
        <w:rPr>
          <w:rFonts w:ascii="Times New Roman" w:hAnsi="Times New Roman" w:cs="Times New Roman"/>
          <w:color w:val="1C1C1C"/>
          <w:szCs w:val="24"/>
        </w:rPr>
        <w:instrText>ADDIN CSL_CITATION {"citationItems":[{"id":"ITEM-1","itemData":{"author":[{"dropping-particle":"","family":"Morais","given":"Carlos H B","non-dropping-particle":"","parse-names":false,"suffix":""},{"dropping-particle":"","family":"Abreu","given":"Danilo T M P","non-dropping-particle":"","parse-names":false,"suffix":""},{"dropping-particle":"","family":"Santos","given":"Joaquim R","non-dropping-particle":"","parse-names":false,"suffix":""},{"dropping-particle":"","family":"Maturana","given":"Marcos C","non-dropping-particle":"","parse-names":false,"suffix":""},{"dropping-particle":"","family":"Colombo","given":"Danilo","non-dropping-particle":"","parse-names":false,"suffix":""},{"dropping-particle":"","family":"Martins","given":"Marcelo R","non-dropping-particle":"","parse-names":false,"suffix":""}],"container-title":"Proceedings of the ASME 2019 38th International Conference on Ocean, Offshore &amp; Arctic Engineering","id":"ITEM-1","issued":{"date-parts":[["2019"]]},"page":"1-8","publisher":"ASME","title":"The Influence of Non-Pescriptive Legislation in the Evolution of Offshore Well Integrity Practices: An Exploratory Review","type":"paper-conference"},"uris":["http://www.mendeley.com/documents/?uuid=4aff4e92-8bb9-3e99-bc3e-75d4aebd0e08"]}],"mendeley":{"formattedCitation":"[10]","plainTextFormattedCitation":"[10]","previouslyFormattedCitation":"[10]"},"properties":{"noteIndex":0},"schema":"https://github.com/citation-style-language/schema/raw/master/csl-citation.json"}</w:instrText>
      </w:r>
      <w:r w:rsidR="007D0BCA">
        <w:rPr>
          <w:rFonts w:ascii="Times New Roman" w:hAnsi="Times New Roman" w:cs="Times New Roman"/>
          <w:color w:val="1C1C1C"/>
          <w:szCs w:val="24"/>
        </w:rPr>
        <w:fldChar w:fldCharType="separate"/>
      </w:r>
      <w:r w:rsidR="00120F8E" w:rsidRPr="006257BC">
        <w:rPr>
          <w:rFonts w:ascii="Times New Roman" w:hAnsi="Times New Roman" w:cs="Times New Roman"/>
          <w:noProof/>
          <w:color w:val="1C1C1C"/>
          <w:szCs w:val="24"/>
        </w:rPr>
        <w:t>[10]</w:t>
      </w:r>
      <w:r w:rsidR="007D0BCA">
        <w:rPr>
          <w:rFonts w:ascii="Times New Roman" w:hAnsi="Times New Roman" w:cs="Times New Roman"/>
          <w:color w:val="1C1C1C"/>
          <w:szCs w:val="24"/>
        </w:rPr>
        <w:fldChar w:fldCharType="end"/>
      </w:r>
      <w:r w:rsidR="00120F8E">
        <w:rPr>
          <w:rFonts w:ascii="Times New Roman" w:hAnsi="Times New Roman" w:cs="Times New Roman"/>
          <w:color w:val="1C1C1C"/>
          <w:szCs w:val="24"/>
        </w:rPr>
        <w:t xml:space="preserve">, </w:t>
      </w:r>
      <w:r w:rsidR="004E33EC">
        <w:rPr>
          <w:rFonts w:ascii="Times New Roman" w:hAnsi="Times New Roman" w:cs="Times New Roman"/>
          <w:color w:val="1C1C1C"/>
          <w:szCs w:val="24"/>
        </w:rPr>
        <w:t xml:space="preserve">correlaciona cada um destes grupos </w:t>
      </w:r>
      <w:r w:rsidR="00266034">
        <w:rPr>
          <w:rFonts w:ascii="Times New Roman" w:hAnsi="Times New Roman" w:cs="Times New Roman"/>
          <w:color w:val="1C1C1C"/>
          <w:szCs w:val="24"/>
        </w:rPr>
        <w:t>em termos da relevância aferida aos três elementos constituintes do ambiente (cultura, liderança e tecnologia e processos), anteriormente formulados.</w:t>
      </w:r>
    </w:p>
    <w:p w:rsidR="002F3AFE" w:rsidRDefault="002F3AFE" w:rsidP="002F3AFE">
      <w:pPr>
        <w:jc w:val="both"/>
        <w:rPr>
          <w:rFonts w:ascii="Times New Roman" w:hAnsi="Times New Roman" w:cs="Times New Roman"/>
          <w:color w:val="1C1C1C"/>
          <w:szCs w:val="24"/>
        </w:rPr>
      </w:pPr>
      <w:r>
        <w:rPr>
          <w:rFonts w:ascii="Times New Roman" w:hAnsi="Times New Roman" w:cs="Times New Roman"/>
          <w:color w:val="1C1C1C"/>
          <w:szCs w:val="24"/>
        </w:rPr>
        <w:t xml:space="preserve">Embora não seja possível determinar-se um modelo causal, usando como proxy o número de fatalidades observadas em cada um dos grupos de abordagem, qualitativamente é perceptível o viés para uma condição mais segura de operações quando se adota a abordagem não-determinística. </w:t>
      </w:r>
    </w:p>
    <w:p w:rsidR="00D754E7" w:rsidRPr="00D754E7" w:rsidRDefault="00D754E7" w:rsidP="00D754E7">
      <w:pPr>
        <w:jc w:val="center"/>
        <w:rPr>
          <w:rFonts w:ascii="Times New Roman" w:hAnsi="Times New Roman" w:cs="Times New Roman"/>
        </w:rPr>
      </w:pPr>
      <w:bookmarkStart w:id="2" w:name="_Ref22746752"/>
      <w:r w:rsidRPr="00D754E7">
        <w:rPr>
          <w:rFonts w:ascii="Times New Roman" w:hAnsi="Times New Roman" w:cs="Times New Roman"/>
          <w:b/>
        </w:rPr>
        <w:t xml:space="preserve">Tabela </w:t>
      </w:r>
      <w:r w:rsidR="007D0BCA" w:rsidRPr="00D754E7">
        <w:rPr>
          <w:rFonts w:ascii="Times New Roman" w:hAnsi="Times New Roman" w:cs="Times New Roman"/>
          <w:b/>
        </w:rPr>
        <w:fldChar w:fldCharType="begin"/>
      </w:r>
      <w:r w:rsidRPr="00D754E7">
        <w:rPr>
          <w:rFonts w:ascii="Times New Roman" w:hAnsi="Times New Roman" w:cs="Times New Roman"/>
          <w:b/>
        </w:rPr>
        <w:instrText xml:space="preserve"> SEQ Tabela \* ARABIC </w:instrText>
      </w:r>
      <w:r w:rsidR="007D0BCA" w:rsidRPr="00D754E7">
        <w:rPr>
          <w:rFonts w:ascii="Times New Roman" w:hAnsi="Times New Roman" w:cs="Times New Roman"/>
          <w:b/>
        </w:rPr>
        <w:fldChar w:fldCharType="separate"/>
      </w:r>
      <w:r w:rsidRPr="00D754E7">
        <w:rPr>
          <w:rFonts w:ascii="Times New Roman" w:hAnsi="Times New Roman" w:cs="Times New Roman"/>
          <w:b/>
        </w:rPr>
        <w:t>1</w:t>
      </w:r>
      <w:r w:rsidR="007D0BCA" w:rsidRPr="00D754E7">
        <w:rPr>
          <w:rFonts w:ascii="Times New Roman" w:hAnsi="Times New Roman" w:cs="Times New Roman"/>
          <w:b/>
        </w:rPr>
        <w:fldChar w:fldCharType="end"/>
      </w:r>
      <w:bookmarkEnd w:id="2"/>
      <w:r>
        <w:rPr>
          <w:rFonts w:ascii="Times New Roman" w:hAnsi="Times New Roman" w:cs="Times New Roman"/>
        </w:rPr>
        <w:t xml:space="preserve">– </w:t>
      </w:r>
      <w:r w:rsidR="00266034">
        <w:rPr>
          <w:rFonts w:ascii="Times New Roman" w:hAnsi="Times New Roman" w:cs="Times New Roman"/>
        </w:rPr>
        <w:t>Grupos de abordagem x Relevância dos elementos do ambiente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41"/>
        <w:gridCol w:w="1587"/>
        <w:gridCol w:w="1587"/>
        <w:gridCol w:w="1587"/>
      </w:tblGrid>
      <w:tr w:rsidR="00266034" w:rsidRPr="007301D8" w:rsidTr="00266034">
        <w:trPr>
          <w:jc w:val="center"/>
        </w:trPr>
        <w:tc>
          <w:tcPr>
            <w:tcW w:w="2041" w:type="dxa"/>
            <w:shd w:val="clear" w:color="auto" w:fill="A6A6A6" w:themeFill="background1" w:themeFillShade="A6"/>
          </w:tcPr>
          <w:p w:rsidR="00266034" w:rsidRPr="00DE7BDC" w:rsidRDefault="00266034" w:rsidP="009F17FA">
            <w:pPr>
              <w:pStyle w:val="Recuodecorpodetexto"/>
              <w:ind w:firstLine="0"/>
              <w:jc w:val="center"/>
              <w:rPr>
                <w:b/>
                <w:sz w:val="18"/>
                <w:szCs w:val="18"/>
                <w:lang w:val="pt-BR"/>
              </w:rPr>
            </w:pPr>
          </w:p>
        </w:tc>
        <w:tc>
          <w:tcPr>
            <w:tcW w:w="4761" w:type="dxa"/>
            <w:gridSpan w:val="3"/>
            <w:shd w:val="clear" w:color="auto" w:fill="auto"/>
          </w:tcPr>
          <w:p w:rsidR="00266034" w:rsidRPr="00DE7BDC" w:rsidRDefault="00266034" w:rsidP="009F17FA">
            <w:pPr>
              <w:pStyle w:val="Recuodecorpodetexto"/>
              <w:ind w:firstLine="0"/>
              <w:jc w:val="center"/>
              <w:rPr>
                <w:b/>
                <w:sz w:val="18"/>
                <w:szCs w:val="18"/>
                <w:lang w:val="pt-BR"/>
              </w:rPr>
            </w:pPr>
            <w:r>
              <w:rPr>
                <w:b/>
                <w:sz w:val="18"/>
                <w:szCs w:val="18"/>
                <w:lang w:val="pt-BR"/>
              </w:rPr>
              <w:t>AMBIENTE</w:t>
            </w:r>
          </w:p>
        </w:tc>
      </w:tr>
      <w:tr w:rsidR="00E13931" w:rsidRPr="007301D8" w:rsidTr="00DE7BDC">
        <w:trPr>
          <w:jc w:val="center"/>
        </w:trPr>
        <w:tc>
          <w:tcPr>
            <w:tcW w:w="2041" w:type="dxa"/>
            <w:shd w:val="clear" w:color="auto" w:fill="auto"/>
          </w:tcPr>
          <w:p w:rsidR="00120F8E" w:rsidRPr="00DE7BDC" w:rsidRDefault="00E13931" w:rsidP="009F17FA">
            <w:pPr>
              <w:pStyle w:val="Recuodecorpodetexto"/>
              <w:ind w:firstLine="0"/>
              <w:jc w:val="center"/>
              <w:rPr>
                <w:b/>
                <w:sz w:val="18"/>
                <w:szCs w:val="18"/>
                <w:lang w:val="pt-BR"/>
              </w:rPr>
            </w:pPr>
            <w:r w:rsidRPr="00DE7BDC">
              <w:rPr>
                <w:b/>
                <w:sz w:val="18"/>
                <w:szCs w:val="18"/>
                <w:lang w:val="pt-BR"/>
              </w:rPr>
              <w:t>ABORDAGEM</w:t>
            </w:r>
          </w:p>
        </w:tc>
        <w:tc>
          <w:tcPr>
            <w:tcW w:w="1587" w:type="dxa"/>
            <w:shd w:val="clear" w:color="auto" w:fill="auto"/>
          </w:tcPr>
          <w:p w:rsidR="00120F8E" w:rsidRPr="00DE7BDC" w:rsidRDefault="00E13931" w:rsidP="009F17FA">
            <w:pPr>
              <w:pStyle w:val="Recuodecorpodetexto"/>
              <w:ind w:firstLine="0"/>
              <w:jc w:val="center"/>
              <w:rPr>
                <w:b/>
                <w:sz w:val="18"/>
                <w:szCs w:val="18"/>
                <w:lang w:val="pt-BR"/>
              </w:rPr>
            </w:pPr>
            <w:r w:rsidRPr="00DE7BDC">
              <w:rPr>
                <w:b/>
                <w:sz w:val="18"/>
                <w:szCs w:val="18"/>
                <w:lang w:val="pt-BR"/>
              </w:rPr>
              <w:t>CULTURA</w:t>
            </w:r>
          </w:p>
        </w:tc>
        <w:tc>
          <w:tcPr>
            <w:tcW w:w="1587" w:type="dxa"/>
          </w:tcPr>
          <w:p w:rsidR="00120F8E" w:rsidRPr="00DE7BDC" w:rsidRDefault="00DE7BDC" w:rsidP="009F17FA">
            <w:pPr>
              <w:pStyle w:val="Recuodecorpodetexto"/>
              <w:ind w:firstLine="0"/>
              <w:jc w:val="center"/>
              <w:rPr>
                <w:b/>
                <w:sz w:val="18"/>
                <w:szCs w:val="18"/>
                <w:lang w:val="pt-BR"/>
              </w:rPr>
            </w:pPr>
            <w:r w:rsidRPr="00DE7BDC">
              <w:rPr>
                <w:b/>
                <w:sz w:val="18"/>
                <w:szCs w:val="18"/>
                <w:lang w:val="pt-BR"/>
              </w:rPr>
              <w:t>LIDERANÇA</w:t>
            </w:r>
          </w:p>
        </w:tc>
        <w:tc>
          <w:tcPr>
            <w:tcW w:w="1587" w:type="dxa"/>
          </w:tcPr>
          <w:p w:rsidR="00120F8E" w:rsidRPr="00DE7BDC" w:rsidRDefault="00E13931" w:rsidP="009F17FA">
            <w:pPr>
              <w:pStyle w:val="Recuodecorpodetexto"/>
              <w:ind w:firstLine="0"/>
              <w:jc w:val="center"/>
              <w:rPr>
                <w:b/>
                <w:sz w:val="18"/>
                <w:szCs w:val="18"/>
                <w:lang w:val="pt-BR"/>
              </w:rPr>
            </w:pPr>
            <w:r w:rsidRPr="00DE7BDC">
              <w:rPr>
                <w:b/>
                <w:sz w:val="18"/>
                <w:szCs w:val="18"/>
                <w:lang w:val="pt-BR"/>
              </w:rPr>
              <w:t>TECNOLOGIA E PROCESSOS</w:t>
            </w:r>
          </w:p>
        </w:tc>
      </w:tr>
      <w:tr w:rsidR="00E13931" w:rsidRPr="007301D8" w:rsidTr="00DE7BDC">
        <w:trPr>
          <w:jc w:val="center"/>
        </w:trPr>
        <w:tc>
          <w:tcPr>
            <w:tcW w:w="2041" w:type="dxa"/>
            <w:shd w:val="clear" w:color="auto" w:fill="auto"/>
            <w:vAlign w:val="center"/>
          </w:tcPr>
          <w:p w:rsidR="00120F8E" w:rsidRPr="00DE7BDC" w:rsidRDefault="00DE7BDC" w:rsidP="009F17FA">
            <w:pPr>
              <w:pStyle w:val="Recuodecorpodetexto"/>
              <w:ind w:firstLine="0"/>
              <w:jc w:val="left"/>
              <w:rPr>
                <w:b/>
                <w:sz w:val="18"/>
                <w:szCs w:val="18"/>
                <w:lang w:val="pt-BR"/>
              </w:rPr>
            </w:pPr>
            <w:r w:rsidRPr="00DE7BDC">
              <w:rPr>
                <w:b/>
                <w:sz w:val="18"/>
                <w:szCs w:val="18"/>
                <w:lang w:val="pt-BR"/>
              </w:rPr>
              <w:lastRenderedPageBreak/>
              <w:t>Não</w:t>
            </w:r>
            <w:r w:rsidR="00E13931" w:rsidRPr="00DE7BDC">
              <w:rPr>
                <w:b/>
                <w:sz w:val="18"/>
                <w:szCs w:val="18"/>
                <w:lang w:val="pt-BR"/>
              </w:rPr>
              <w:t>-determinística</w:t>
            </w:r>
          </w:p>
        </w:tc>
        <w:tc>
          <w:tcPr>
            <w:tcW w:w="1587" w:type="dxa"/>
            <w:shd w:val="clear" w:color="auto" w:fill="auto"/>
            <w:vAlign w:val="center"/>
          </w:tcPr>
          <w:p w:rsidR="00120F8E" w:rsidRPr="00DE7BDC" w:rsidRDefault="00AA0BED" w:rsidP="009F17FA">
            <w:pPr>
              <w:pStyle w:val="Recuodecorpodetexto"/>
              <w:ind w:firstLine="0"/>
              <w:jc w:val="center"/>
              <w:rPr>
                <w:sz w:val="18"/>
                <w:szCs w:val="18"/>
                <w:lang w:val="pt-BR"/>
              </w:rPr>
            </w:pPr>
            <w:r>
              <w:rPr>
                <w:sz w:val="18"/>
                <w:szCs w:val="18"/>
                <w:lang w:val="pt-BR"/>
              </w:rPr>
              <w:t>Alta</w:t>
            </w:r>
          </w:p>
        </w:tc>
        <w:tc>
          <w:tcPr>
            <w:tcW w:w="1587" w:type="dxa"/>
            <w:vAlign w:val="center"/>
          </w:tcPr>
          <w:p w:rsidR="00120F8E" w:rsidRPr="00DE7BDC" w:rsidRDefault="00AA0BED" w:rsidP="009F17FA">
            <w:pPr>
              <w:pStyle w:val="Recuodecorpodetexto"/>
              <w:ind w:firstLine="0"/>
              <w:jc w:val="center"/>
              <w:rPr>
                <w:sz w:val="18"/>
                <w:szCs w:val="18"/>
                <w:lang w:val="pt-BR"/>
              </w:rPr>
            </w:pPr>
            <w:r>
              <w:rPr>
                <w:sz w:val="18"/>
                <w:szCs w:val="18"/>
                <w:lang w:val="pt-BR"/>
              </w:rPr>
              <w:t>Alta</w:t>
            </w:r>
          </w:p>
        </w:tc>
        <w:tc>
          <w:tcPr>
            <w:tcW w:w="1587" w:type="dxa"/>
            <w:vAlign w:val="center"/>
          </w:tcPr>
          <w:p w:rsidR="00120F8E" w:rsidRPr="00DE7BDC" w:rsidRDefault="00AA0BED" w:rsidP="009F17FA">
            <w:pPr>
              <w:pStyle w:val="Recuodecorpodetexto"/>
              <w:ind w:firstLine="0"/>
              <w:jc w:val="center"/>
              <w:rPr>
                <w:sz w:val="18"/>
                <w:szCs w:val="18"/>
                <w:lang w:val="pt-BR"/>
              </w:rPr>
            </w:pPr>
            <w:r>
              <w:rPr>
                <w:sz w:val="18"/>
                <w:szCs w:val="18"/>
                <w:lang w:val="pt-BR"/>
              </w:rPr>
              <w:t>Baixa</w:t>
            </w:r>
          </w:p>
        </w:tc>
      </w:tr>
      <w:tr w:rsidR="00E13931" w:rsidRPr="007301D8" w:rsidTr="00DE7BDC">
        <w:trPr>
          <w:jc w:val="center"/>
        </w:trPr>
        <w:tc>
          <w:tcPr>
            <w:tcW w:w="2041" w:type="dxa"/>
            <w:shd w:val="clear" w:color="auto" w:fill="auto"/>
            <w:vAlign w:val="center"/>
          </w:tcPr>
          <w:p w:rsidR="00120F8E" w:rsidRPr="00DE7BDC" w:rsidRDefault="00E13931" w:rsidP="009F17FA">
            <w:pPr>
              <w:pStyle w:val="Recuodecorpodetexto"/>
              <w:ind w:firstLine="0"/>
              <w:jc w:val="left"/>
              <w:rPr>
                <w:b/>
                <w:sz w:val="18"/>
                <w:szCs w:val="18"/>
                <w:lang w:val="pt-BR"/>
              </w:rPr>
            </w:pPr>
            <w:r w:rsidRPr="00DE7BDC">
              <w:rPr>
                <w:b/>
                <w:sz w:val="18"/>
                <w:szCs w:val="18"/>
                <w:lang w:val="pt-BR"/>
              </w:rPr>
              <w:t>Determinística</w:t>
            </w:r>
          </w:p>
        </w:tc>
        <w:tc>
          <w:tcPr>
            <w:tcW w:w="1587" w:type="dxa"/>
            <w:shd w:val="clear" w:color="auto" w:fill="auto"/>
            <w:vAlign w:val="center"/>
          </w:tcPr>
          <w:p w:rsidR="00120F8E" w:rsidRPr="00DE7BDC" w:rsidRDefault="00AB0A10" w:rsidP="009F17FA">
            <w:pPr>
              <w:pStyle w:val="Recuodecorpodetexto"/>
              <w:ind w:firstLine="0"/>
              <w:jc w:val="center"/>
              <w:rPr>
                <w:sz w:val="18"/>
                <w:szCs w:val="18"/>
                <w:lang w:val="pt-BR"/>
              </w:rPr>
            </w:pPr>
            <w:r>
              <w:rPr>
                <w:sz w:val="18"/>
                <w:szCs w:val="18"/>
                <w:lang w:val="pt-BR"/>
              </w:rPr>
              <w:t>Média</w:t>
            </w:r>
          </w:p>
        </w:tc>
        <w:tc>
          <w:tcPr>
            <w:tcW w:w="1587" w:type="dxa"/>
            <w:vAlign w:val="center"/>
          </w:tcPr>
          <w:p w:rsidR="00120F8E" w:rsidRPr="00DE7BDC" w:rsidRDefault="00AB0A10" w:rsidP="009F17FA">
            <w:pPr>
              <w:pStyle w:val="Recuodecorpodetexto"/>
              <w:ind w:firstLine="0"/>
              <w:jc w:val="center"/>
              <w:rPr>
                <w:sz w:val="18"/>
                <w:szCs w:val="18"/>
                <w:lang w:val="pt-BR"/>
              </w:rPr>
            </w:pPr>
            <w:r>
              <w:rPr>
                <w:sz w:val="18"/>
                <w:szCs w:val="18"/>
                <w:lang w:val="pt-BR"/>
              </w:rPr>
              <w:t>Baixa</w:t>
            </w:r>
          </w:p>
        </w:tc>
        <w:tc>
          <w:tcPr>
            <w:tcW w:w="1587" w:type="dxa"/>
            <w:vAlign w:val="center"/>
          </w:tcPr>
          <w:p w:rsidR="00120F8E" w:rsidRPr="00DE7BDC" w:rsidRDefault="00AB0A10" w:rsidP="009F17FA">
            <w:pPr>
              <w:pStyle w:val="Recuodecorpodetexto"/>
              <w:ind w:firstLine="0"/>
              <w:jc w:val="center"/>
              <w:rPr>
                <w:sz w:val="18"/>
                <w:szCs w:val="18"/>
                <w:lang w:val="pt-BR"/>
              </w:rPr>
            </w:pPr>
            <w:r>
              <w:rPr>
                <w:sz w:val="18"/>
                <w:szCs w:val="18"/>
                <w:lang w:val="pt-BR"/>
              </w:rPr>
              <w:t>Alta</w:t>
            </w:r>
          </w:p>
        </w:tc>
      </w:tr>
      <w:tr w:rsidR="00E13931" w:rsidTr="00DE7BDC">
        <w:trPr>
          <w:jc w:val="center"/>
        </w:trPr>
        <w:tc>
          <w:tcPr>
            <w:tcW w:w="2041" w:type="dxa"/>
            <w:shd w:val="clear" w:color="auto" w:fill="auto"/>
            <w:vAlign w:val="center"/>
          </w:tcPr>
          <w:p w:rsidR="00120F8E" w:rsidRPr="00DE7BDC" w:rsidRDefault="00E13931" w:rsidP="009F17FA">
            <w:pPr>
              <w:pStyle w:val="Recuodecorpodetexto"/>
              <w:ind w:firstLine="0"/>
              <w:jc w:val="left"/>
              <w:rPr>
                <w:b/>
                <w:sz w:val="18"/>
                <w:szCs w:val="18"/>
                <w:lang w:val="pt-BR"/>
              </w:rPr>
            </w:pPr>
            <w:r w:rsidRPr="00DE7BDC">
              <w:rPr>
                <w:b/>
                <w:sz w:val="18"/>
                <w:szCs w:val="18"/>
                <w:lang w:val="pt-BR"/>
              </w:rPr>
              <w:t>Mista</w:t>
            </w:r>
          </w:p>
        </w:tc>
        <w:tc>
          <w:tcPr>
            <w:tcW w:w="1587" w:type="dxa"/>
            <w:shd w:val="clear" w:color="auto" w:fill="auto"/>
            <w:vAlign w:val="center"/>
          </w:tcPr>
          <w:p w:rsidR="00120F8E" w:rsidRPr="00DE7BDC" w:rsidRDefault="00AB0A10" w:rsidP="009F17FA">
            <w:pPr>
              <w:pStyle w:val="Recuodecorpodetexto"/>
              <w:ind w:firstLine="0"/>
              <w:jc w:val="center"/>
              <w:rPr>
                <w:sz w:val="18"/>
                <w:szCs w:val="18"/>
                <w:lang w:val="pt-BR"/>
              </w:rPr>
            </w:pPr>
            <w:r>
              <w:rPr>
                <w:sz w:val="18"/>
                <w:szCs w:val="18"/>
                <w:lang w:val="pt-BR"/>
              </w:rPr>
              <w:t>Alta</w:t>
            </w:r>
          </w:p>
        </w:tc>
        <w:tc>
          <w:tcPr>
            <w:tcW w:w="1587" w:type="dxa"/>
            <w:vAlign w:val="center"/>
          </w:tcPr>
          <w:p w:rsidR="00120F8E" w:rsidRPr="00DE7BDC" w:rsidRDefault="00AB0A10" w:rsidP="009F17FA">
            <w:pPr>
              <w:pStyle w:val="Recuodecorpodetexto"/>
              <w:ind w:firstLine="0"/>
              <w:jc w:val="center"/>
              <w:rPr>
                <w:sz w:val="18"/>
                <w:szCs w:val="18"/>
                <w:lang w:val="pt-BR"/>
              </w:rPr>
            </w:pPr>
            <w:r>
              <w:rPr>
                <w:sz w:val="18"/>
                <w:szCs w:val="18"/>
                <w:lang w:val="pt-BR"/>
              </w:rPr>
              <w:t>Média</w:t>
            </w:r>
          </w:p>
        </w:tc>
        <w:tc>
          <w:tcPr>
            <w:tcW w:w="1587" w:type="dxa"/>
            <w:vAlign w:val="center"/>
          </w:tcPr>
          <w:p w:rsidR="00120F8E" w:rsidRPr="00DE7BDC" w:rsidRDefault="00120F8E" w:rsidP="009F17FA">
            <w:pPr>
              <w:pStyle w:val="Recuodecorpodetexto"/>
              <w:ind w:firstLine="0"/>
              <w:jc w:val="center"/>
              <w:rPr>
                <w:sz w:val="18"/>
                <w:szCs w:val="18"/>
                <w:lang w:val="pt-BR"/>
              </w:rPr>
            </w:pPr>
            <w:r w:rsidRPr="00DE7BDC">
              <w:rPr>
                <w:sz w:val="18"/>
                <w:szCs w:val="18"/>
                <w:lang w:val="pt-BR"/>
              </w:rPr>
              <w:t>X</w:t>
            </w:r>
          </w:p>
        </w:tc>
      </w:tr>
    </w:tbl>
    <w:p w:rsidR="002A1AE3" w:rsidRDefault="00D42FC0" w:rsidP="00D30605">
      <w:pPr>
        <w:pStyle w:val="Ttulo1"/>
        <w:numPr>
          <w:ilvl w:val="0"/>
          <w:numId w:val="16"/>
        </w:numPr>
      </w:pPr>
      <w:r w:rsidRPr="00D42FC0">
        <w:t>CONCLUS</w:t>
      </w:r>
      <w:r w:rsidR="0078428A">
        <w:t>ÕES</w:t>
      </w:r>
    </w:p>
    <w:p w:rsidR="00184DEA" w:rsidRPr="00184DEA" w:rsidRDefault="00724C7D" w:rsidP="00184DEA">
      <w:pPr>
        <w:spacing w:line="276" w:lineRule="auto"/>
        <w:jc w:val="both"/>
        <w:rPr>
          <w:rFonts w:ascii="Times New Roman" w:hAnsi="Times New Roman" w:cs="Times New Roman"/>
          <w:color w:val="1C1C1C"/>
          <w:szCs w:val="24"/>
        </w:rPr>
      </w:pPr>
      <w:r>
        <w:rPr>
          <w:rFonts w:ascii="Times New Roman" w:hAnsi="Times New Roman" w:cs="Times New Roman"/>
          <w:color w:val="1C1C1C"/>
          <w:szCs w:val="24"/>
        </w:rPr>
        <w:t xml:space="preserve">Ainda que se esteja presenciando </w:t>
      </w:r>
      <w:r w:rsidR="00043753">
        <w:rPr>
          <w:rFonts w:ascii="Times New Roman" w:hAnsi="Times New Roman" w:cs="Times New Roman"/>
          <w:color w:val="1C1C1C"/>
          <w:szCs w:val="24"/>
        </w:rPr>
        <w:t>um</w:t>
      </w:r>
      <w:r>
        <w:rPr>
          <w:rFonts w:ascii="Times New Roman" w:hAnsi="Times New Roman" w:cs="Times New Roman"/>
          <w:color w:val="1C1C1C"/>
          <w:szCs w:val="24"/>
        </w:rPr>
        <w:t>a crescente automatização industrial, a segurança operacional depende fortemente do resultado de diversas ações humanas</w:t>
      </w:r>
      <w:r w:rsidR="00DB4F86">
        <w:rPr>
          <w:rFonts w:ascii="Times New Roman" w:hAnsi="Times New Roman" w:cs="Times New Roman"/>
          <w:color w:val="1C1C1C"/>
          <w:szCs w:val="24"/>
        </w:rPr>
        <w:t xml:space="preserve">. Nesse sentido, o presente trabalho aborda a relevância de diferentes abordagens dirigidas ao estabelecimento de legislações pertinentes ao trabalho industrial, tendo como modelo de referência </w:t>
      </w:r>
      <w:r w:rsidR="00576933">
        <w:rPr>
          <w:rFonts w:ascii="Times New Roman" w:hAnsi="Times New Roman" w:cs="Times New Roman"/>
          <w:color w:val="1C1C1C"/>
          <w:szCs w:val="24"/>
        </w:rPr>
        <w:t xml:space="preserve">a adaptação do modelo </w:t>
      </w:r>
      <w:proofErr w:type="spellStart"/>
      <w:r w:rsidR="00DB4F86">
        <w:rPr>
          <w:rFonts w:ascii="Times New Roman" w:hAnsi="Times New Roman" w:cs="Times New Roman"/>
          <w:color w:val="1C1C1C"/>
          <w:szCs w:val="24"/>
        </w:rPr>
        <w:t>triádico</w:t>
      </w:r>
      <w:proofErr w:type="spellEnd"/>
      <w:r w:rsidR="00DB4F86">
        <w:rPr>
          <w:rFonts w:ascii="Times New Roman" w:hAnsi="Times New Roman" w:cs="Times New Roman"/>
          <w:color w:val="1C1C1C"/>
          <w:szCs w:val="24"/>
        </w:rPr>
        <w:t xml:space="preserve"> da Teoria da Cognição Social</w:t>
      </w:r>
      <w:r w:rsidR="00576933">
        <w:rPr>
          <w:rFonts w:ascii="Times New Roman" w:hAnsi="Times New Roman" w:cs="Times New Roman"/>
          <w:color w:val="1C1C1C"/>
          <w:szCs w:val="24"/>
        </w:rPr>
        <w:t xml:space="preserve"> (SCT), a qual desdobra o nível Ambiente da SCT em três elementos constitutivos: Cultura, Liderança e Tecnologia e Processos.</w:t>
      </w:r>
      <w:r w:rsidR="00043753" w:rsidRPr="00043753">
        <w:rPr>
          <w:rFonts w:ascii="Times New Roman" w:hAnsi="Times New Roman" w:cs="Times New Roman"/>
          <w:color w:val="1C1C1C"/>
          <w:szCs w:val="24"/>
        </w:rPr>
        <w:t>Tais elementos são, em menor ou maior grau, considerados p</w:t>
      </w:r>
      <w:r w:rsidR="00043753">
        <w:rPr>
          <w:rFonts w:ascii="Times New Roman" w:hAnsi="Times New Roman" w:cs="Times New Roman"/>
          <w:color w:val="1C1C1C"/>
          <w:szCs w:val="24"/>
        </w:rPr>
        <w:t xml:space="preserve">elas legislações britânica, americana e brasileira do segmento offshore de Óleo e Gás e, tomando como variável moderadora o número de fatalidades ocorridas nas operações offshore dos respectivos países onde essas legislações são vigentes, o estudo proposto foi capaz de qualitativamente </w:t>
      </w:r>
      <w:r w:rsidR="009C3D18">
        <w:rPr>
          <w:rFonts w:ascii="Times New Roman" w:hAnsi="Times New Roman" w:cs="Times New Roman"/>
          <w:color w:val="1C1C1C"/>
          <w:szCs w:val="24"/>
        </w:rPr>
        <w:t>perceber uma correlação positiv</w:t>
      </w:r>
      <w:r w:rsidR="008E35FD">
        <w:rPr>
          <w:rFonts w:ascii="Times New Roman" w:hAnsi="Times New Roman" w:cs="Times New Roman"/>
          <w:color w:val="1C1C1C"/>
          <w:szCs w:val="24"/>
        </w:rPr>
        <w:t>a</w:t>
      </w:r>
      <w:r w:rsidR="009C3D18">
        <w:rPr>
          <w:rFonts w:ascii="Times New Roman" w:hAnsi="Times New Roman" w:cs="Times New Roman"/>
          <w:color w:val="1C1C1C"/>
          <w:szCs w:val="24"/>
        </w:rPr>
        <w:t xml:space="preserve"> entre </w:t>
      </w:r>
      <w:r w:rsidR="008E35FD">
        <w:rPr>
          <w:rFonts w:ascii="Times New Roman" w:hAnsi="Times New Roman" w:cs="Times New Roman"/>
          <w:color w:val="1C1C1C"/>
          <w:szCs w:val="24"/>
        </w:rPr>
        <w:t xml:space="preserve">a adoção de </w:t>
      </w:r>
      <w:r w:rsidR="009C3D18">
        <w:rPr>
          <w:rFonts w:ascii="Times New Roman" w:hAnsi="Times New Roman" w:cs="Times New Roman"/>
          <w:color w:val="1C1C1C"/>
          <w:szCs w:val="24"/>
        </w:rPr>
        <w:t xml:space="preserve">legislações não-determinísticas </w:t>
      </w:r>
      <w:r w:rsidR="008E35FD">
        <w:rPr>
          <w:rFonts w:ascii="Times New Roman" w:hAnsi="Times New Roman" w:cs="Times New Roman"/>
          <w:color w:val="1C1C1C"/>
          <w:szCs w:val="24"/>
        </w:rPr>
        <w:t xml:space="preserve">e </w:t>
      </w:r>
      <w:r w:rsidR="005B58F3">
        <w:rPr>
          <w:rFonts w:ascii="Times New Roman" w:hAnsi="Times New Roman" w:cs="Times New Roman"/>
          <w:color w:val="1C1C1C"/>
          <w:szCs w:val="24"/>
        </w:rPr>
        <w:t>condições operacionais mais seguras</w:t>
      </w:r>
      <w:r w:rsidR="00184DEA">
        <w:rPr>
          <w:rFonts w:ascii="Times New Roman" w:hAnsi="Times New Roman" w:cs="Times New Roman"/>
          <w:color w:val="1C1C1C"/>
          <w:szCs w:val="24"/>
        </w:rPr>
        <w:t xml:space="preserve">, constatação que corrobora a percepção da necessidade da adoção de abordagens não-determinísticas, visto que </w:t>
      </w:r>
      <w:r w:rsidR="00184DEA" w:rsidRPr="00184DEA">
        <w:rPr>
          <w:rFonts w:ascii="Times New Roman" w:hAnsi="Times New Roman" w:cs="Times New Roman"/>
          <w:color w:val="1C1C1C"/>
          <w:szCs w:val="24"/>
        </w:rPr>
        <w:t xml:space="preserve">as abordagens </w:t>
      </w:r>
      <w:r w:rsidR="00184DEA">
        <w:rPr>
          <w:rFonts w:ascii="Times New Roman" w:hAnsi="Times New Roman" w:cs="Times New Roman"/>
          <w:color w:val="1C1C1C"/>
          <w:szCs w:val="24"/>
        </w:rPr>
        <w:t>prescritivas</w:t>
      </w:r>
      <w:r w:rsidR="00184DEA" w:rsidRPr="00184DEA">
        <w:rPr>
          <w:rFonts w:ascii="Times New Roman" w:hAnsi="Times New Roman" w:cs="Times New Roman"/>
          <w:color w:val="1C1C1C"/>
          <w:szCs w:val="24"/>
        </w:rPr>
        <w:t xml:space="preserve"> não tem sido suficientes para predição absoluta e controle de riscos operacionaisem cenários de alta exigência comportamental. </w:t>
      </w:r>
    </w:p>
    <w:p w:rsidR="00F81902" w:rsidRDefault="008A7A7B" w:rsidP="00F81902">
      <w:pPr>
        <w:pStyle w:val="Ttulo1"/>
        <w:numPr>
          <w:ilvl w:val="0"/>
          <w:numId w:val="16"/>
        </w:numPr>
      </w:pPr>
      <w:r>
        <w:t>AGRADECIMENTOS</w:t>
      </w:r>
    </w:p>
    <w:p w:rsidR="00F81902" w:rsidRPr="008A7A7B" w:rsidRDefault="008050D9" w:rsidP="008A7A7B">
      <w:pPr>
        <w:jc w:val="both"/>
        <w:rPr>
          <w:rFonts w:ascii="Times New Roman" w:hAnsi="Times New Roman" w:cs="Times New Roman"/>
          <w:color w:val="1C1C1C"/>
          <w:szCs w:val="24"/>
        </w:rPr>
      </w:pPr>
      <w:r w:rsidRPr="008050D9">
        <w:rPr>
          <w:rFonts w:ascii="Times New Roman" w:hAnsi="Times New Roman" w:cs="Times New Roman"/>
          <w:color w:val="1C1C1C"/>
          <w:szCs w:val="24"/>
        </w:rPr>
        <w:t>Este artigo relata parte dos resultados gerais obtidos no projeto de pesquisa e desenvolvimento número 5850.0106642.18.9, patrocinado pela Petrobras, cujo apoio os autores agradecem. O último autor também agradece o apoio do Conselho Nacional de Desenvolvimento Científico e Tecnológico (CNPq) através da concessão 304533 / 2016-5.</w:t>
      </w:r>
      <w:bookmarkStart w:id="3" w:name="_GoBack"/>
      <w:bookmarkEnd w:id="3"/>
    </w:p>
    <w:p w:rsidR="00486E79" w:rsidRDefault="00486E79" w:rsidP="00F81902">
      <w:pPr>
        <w:pStyle w:val="Ttulo1"/>
        <w:numPr>
          <w:ilvl w:val="0"/>
          <w:numId w:val="16"/>
        </w:numPr>
      </w:pPr>
      <w:r>
        <w:t>REFERÊNCIAS</w:t>
      </w:r>
    </w:p>
    <w:p w:rsidR="00120F8E" w:rsidRPr="00375D02" w:rsidRDefault="007D0BCA"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Pr>
          <w:rFonts w:ascii="Times New Roman" w:hAnsi="Times New Roman" w:cs="Times New Roman"/>
          <w:szCs w:val="24"/>
          <w:lang w:val="en-GB"/>
        </w:rPr>
        <w:fldChar w:fldCharType="begin" w:fldLock="1"/>
      </w:r>
      <w:r w:rsidR="00486E79">
        <w:rPr>
          <w:rFonts w:ascii="Times New Roman" w:hAnsi="Times New Roman" w:cs="Times New Roman"/>
          <w:szCs w:val="24"/>
          <w:lang w:val="en-GB"/>
        </w:rPr>
        <w:instrText xml:space="preserve">ADDIN Mendeley Bibliography CSL_BIBLIOGRAPHY </w:instrText>
      </w:r>
      <w:r>
        <w:rPr>
          <w:rFonts w:ascii="Times New Roman" w:hAnsi="Times New Roman" w:cs="Times New Roman"/>
          <w:szCs w:val="24"/>
          <w:lang w:val="en-GB"/>
        </w:rPr>
        <w:fldChar w:fldCharType="separate"/>
      </w:r>
      <w:r w:rsidR="00120F8E" w:rsidRPr="00375D02">
        <w:rPr>
          <w:rFonts w:ascii="Times New Roman" w:hAnsi="Times New Roman" w:cs="Times New Roman"/>
          <w:noProof/>
          <w:szCs w:val="24"/>
          <w:lang w:val="en-US"/>
        </w:rPr>
        <w:t>[1]</w:t>
      </w:r>
      <w:r w:rsidR="00120F8E" w:rsidRPr="00375D02">
        <w:rPr>
          <w:rFonts w:ascii="Times New Roman" w:hAnsi="Times New Roman" w:cs="Times New Roman"/>
          <w:noProof/>
          <w:szCs w:val="24"/>
          <w:lang w:val="en-US"/>
        </w:rPr>
        <w:tab/>
        <w:t xml:space="preserve">UK Government, “Health and Safety at Work Act 1974,” </w:t>
      </w:r>
      <w:r w:rsidR="00120F8E" w:rsidRPr="00375D02">
        <w:rPr>
          <w:rFonts w:ascii="Times New Roman" w:hAnsi="Times New Roman" w:cs="Times New Roman"/>
          <w:i/>
          <w:iCs/>
          <w:noProof/>
          <w:szCs w:val="24"/>
          <w:lang w:val="en-US"/>
        </w:rPr>
        <w:t>Employ. Law Occup. Heal. …</w:t>
      </w:r>
      <w:r w:rsidR="00120F8E" w:rsidRPr="00375D02">
        <w:rPr>
          <w:rFonts w:ascii="Times New Roman" w:hAnsi="Times New Roman" w:cs="Times New Roman"/>
          <w:noProof/>
          <w:szCs w:val="24"/>
          <w:lang w:val="en-US"/>
        </w:rPr>
        <w:t>, p. 121, 1974.</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[2]</w:t>
      </w:r>
      <w:r w:rsidRPr="00375D02">
        <w:rPr>
          <w:rFonts w:ascii="Times New Roman" w:hAnsi="Times New Roman" w:cs="Times New Roman"/>
          <w:noProof/>
          <w:szCs w:val="24"/>
          <w:lang w:val="en-US"/>
        </w:rPr>
        <w:tab/>
        <w:t xml:space="preserve">Health and Safety Executive (HSE), “The Offshore Installations (Offshore Safety Directive) (Safety Case etc.) Regulations 2015,” </w:t>
      </w:r>
      <w:r w:rsidRPr="00375D02">
        <w:rPr>
          <w:rFonts w:ascii="Times New Roman" w:hAnsi="Times New Roman" w:cs="Times New Roman"/>
          <w:i/>
          <w:iCs/>
          <w:noProof/>
          <w:szCs w:val="24"/>
          <w:lang w:val="en-US"/>
        </w:rPr>
        <w:t>398</w:t>
      </w:r>
      <w:r w:rsidRPr="00375D02">
        <w:rPr>
          <w:rFonts w:ascii="Times New Roman" w:hAnsi="Times New Roman" w:cs="Times New Roman"/>
          <w:noProof/>
          <w:szCs w:val="24"/>
          <w:lang w:val="en-US"/>
        </w:rPr>
        <w:t>, vol. 154, no. 398, p. 68, 2015.</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[3]</w:t>
      </w:r>
      <w:r w:rsidRPr="00375D02">
        <w:rPr>
          <w:rFonts w:ascii="Times New Roman" w:hAnsi="Times New Roman" w:cs="Times New Roman"/>
          <w:noProof/>
          <w:szCs w:val="24"/>
          <w:lang w:val="en-US"/>
        </w:rPr>
        <w:tab/>
        <w:t>U.K Health and Safety Executive (HSE), “The Health and Safety at Work etc Act 1974 (HSWA).” [Online]. Available: http://www.hse.gov.uk/aboutus/40/hswa-40.htm. [Accessed: 04-May-2018].</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[4]</w:t>
      </w:r>
      <w:r w:rsidRPr="00375D02">
        <w:rPr>
          <w:rFonts w:ascii="Times New Roman" w:hAnsi="Times New Roman" w:cs="Times New Roman"/>
          <w:noProof/>
          <w:szCs w:val="24"/>
          <w:lang w:val="en-US"/>
        </w:rPr>
        <w:tab/>
        <w:t xml:space="preserve">NOPSEMA, “What is a Safety Case.” </w:t>
      </w:r>
      <w:r w:rsidRPr="00375D02">
        <w:rPr>
          <w:rFonts w:ascii="Times New Roman" w:hAnsi="Times New Roman" w:cs="Times New Roman"/>
          <w:noProof/>
          <w:szCs w:val="24"/>
          <w:lang w:val="fr-FR"/>
        </w:rPr>
        <w:t xml:space="preserve">[Online]. Available: https://www.nopsema.gov.au/safety/safety-case/what-is-a-safety-case/. </w:t>
      </w:r>
      <w:r w:rsidRPr="00375D02">
        <w:rPr>
          <w:rFonts w:ascii="Times New Roman" w:hAnsi="Times New Roman" w:cs="Times New Roman"/>
          <w:noProof/>
          <w:szCs w:val="24"/>
          <w:lang w:val="en-US"/>
        </w:rPr>
        <w:t>[Accessed: 15-Jun-2018].</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[5]</w:t>
      </w:r>
      <w:r w:rsidRPr="00375D02">
        <w:rPr>
          <w:rFonts w:ascii="Times New Roman" w:hAnsi="Times New Roman" w:cs="Times New Roman"/>
          <w:noProof/>
          <w:szCs w:val="24"/>
          <w:lang w:val="en-US"/>
        </w:rPr>
        <w:tab/>
        <w:t>NORSOK, “NORSOK Standard D-010: Well integrity in drilling and well operations,” no. Rev. 4, June 2013. Standards Norway, Strandveien, 2013.</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[6]</w:t>
      </w:r>
      <w:r w:rsidRPr="00375D02">
        <w:rPr>
          <w:rFonts w:ascii="Times New Roman" w:hAnsi="Times New Roman" w:cs="Times New Roman"/>
          <w:noProof/>
          <w:szCs w:val="24"/>
          <w:lang w:val="en-US"/>
        </w:rPr>
        <w:tab/>
        <w:t>ANP, “Resolução ANP n</w:t>
      </w:r>
      <w:r w:rsidRPr="00375D02">
        <w:rPr>
          <w:rFonts w:ascii="Times New Roman" w:hAnsi="Times New Roman" w:cs="Times New Roman"/>
          <w:noProof/>
          <w:szCs w:val="24"/>
          <w:vertAlign w:val="superscript"/>
          <w:lang w:val="en-US"/>
        </w:rPr>
        <w:t>o</w:t>
      </w:r>
      <w:r w:rsidRPr="00375D02">
        <w:rPr>
          <w:rFonts w:ascii="Times New Roman" w:hAnsi="Times New Roman" w:cs="Times New Roman"/>
          <w:noProof/>
          <w:szCs w:val="24"/>
          <w:lang w:val="en-US"/>
        </w:rPr>
        <w:t xml:space="preserve"> 46 de 01/11/2016,” pp. 1–19, 2016.</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[7]</w:t>
      </w:r>
      <w:r w:rsidRPr="00375D02">
        <w:rPr>
          <w:rFonts w:ascii="Times New Roman" w:hAnsi="Times New Roman" w:cs="Times New Roman"/>
          <w:noProof/>
          <w:szCs w:val="24"/>
          <w:lang w:val="en-US"/>
        </w:rPr>
        <w:tab/>
        <w:t xml:space="preserve">R. O. Skotnes and O. A. Engen, “Attitudes toward risk regulation - Prescriptive or functional regulation?,” </w:t>
      </w:r>
      <w:r w:rsidRPr="00375D02">
        <w:rPr>
          <w:rFonts w:ascii="Times New Roman" w:hAnsi="Times New Roman" w:cs="Times New Roman"/>
          <w:i/>
          <w:iCs/>
          <w:noProof/>
          <w:szCs w:val="24"/>
          <w:lang w:val="en-US"/>
        </w:rPr>
        <w:t>Saf. Sci.</w:t>
      </w:r>
      <w:r w:rsidRPr="00375D02">
        <w:rPr>
          <w:rFonts w:ascii="Times New Roman" w:hAnsi="Times New Roman" w:cs="Times New Roman"/>
          <w:noProof/>
          <w:szCs w:val="24"/>
          <w:lang w:val="en-US"/>
        </w:rPr>
        <w:t>, vol. 77, pp. 10–18, 2015.</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[8]</w:t>
      </w:r>
      <w:r w:rsidRPr="00375D02">
        <w:rPr>
          <w:rFonts w:ascii="Times New Roman" w:hAnsi="Times New Roman" w:cs="Times New Roman"/>
          <w:noProof/>
          <w:szCs w:val="24"/>
          <w:lang w:val="en-US"/>
        </w:rPr>
        <w:tab/>
        <w:t xml:space="preserve">BSEE (Bureau of Safety and Environmental Enforcement), “About Us,” 2018. </w:t>
      </w:r>
      <w:r w:rsidRPr="00375D02">
        <w:rPr>
          <w:rFonts w:ascii="Times New Roman" w:hAnsi="Times New Roman" w:cs="Times New Roman"/>
          <w:noProof/>
          <w:szCs w:val="24"/>
          <w:lang w:val="fr-FR"/>
        </w:rPr>
        <w:t xml:space="preserve">[Online]. Available: https://www.bsee.gov/who-we-are/about-us. </w:t>
      </w:r>
      <w:r w:rsidRPr="00375D02">
        <w:rPr>
          <w:rFonts w:ascii="Times New Roman" w:hAnsi="Times New Roman" w:cs="Times New Roman"/>
          <w:noProof/>
          <w:szCs w:val="24"/>
          <w:lang w:val="en-US"/>
        </w:rPr>
        <w:t>[Accessed: 16-May-2018].</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[9]</w:t>
      </w:r>
      <w:r w:rsidRPr="00375D02">
        <w:rPr>
          <w:rFonts w:ascii="Times New Roman" w:hAnsi="Times New Roman" w:cs="Times New Roman"/>
          <w:noProof/>
          <w:szCs w:val="24"/>
          <w:lang w:val="en-US"/>
        </w:rPr>
        <w:tab/>
        <w:t>BSEE, “Part III Department of the Interior,” vol. 78, no. 25, pp. 1–75, 2016.</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[10]</w:t>
      </w:r>
      <w:r w:rsidRPr="00375D02">
        <w:rPr>
          <w:rFonts w:ascii="Times New Roman" w:hAnsi="Times New Roman" w:cs="Times New Roman"/>
          <w:noProof/>
          <w:szCs w:val="24"/>
          <w:lang w:val="en-US"/>
        </w:rPr>
        <w:tab/>
        <w:t xml:space="preserve">C. H. B. Morais, D. T. M. P. Abreu, J. R. Santos, M. C. Maturana, D. Colombo, and M. R. Martins, “The Influence of Non-Pescriptive Legislation in the Evolution of Offshore Well Integrity Practices: An Exploratory Review,” in </w:t>
      </w:r>
      <w:r w:rsidRPr="00375D02">
        <w:rPr>
          <w:rFonts w:ascii="Times New Roman" w:hAnsi="Times New Roman" w:cs="Times New Roman"/>
          <w:i/>
          <w:iCs/>
          <w:noProof/>
          <w:szCs w:val="24"/>
          <w:lang w:val="en-US"/>
        </w:rPr>
        <w:t>Proceedings of the ASME 2019 38th International Conference on Ocean, Offshore &amp; Arctic Engineering</w:t>
      </w:r>
      <w:r w:rsidRPr="00375D02">
        <w:rPr>
          <w:rFonts w:ascii="Times New Roman" w:hAnsi="Times New Roman" w:cs="Times New Roman"/>
          <w:noProof/>
          <w:szCs w:val="24"/>
          <w:lang w:val="en-US"/>
        </w:rPr>
        <w:t>, 2019, pp. 1–8.</w:t>
      </w:r>
    </w:p>
    <w:p w:rsidR="00120F8E" w:rsidRPr="00375D02"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lang w:val="en-US"/>
        </w:rPr>
      </w:pPr>
      <w:r w:rsidRPr="00375D02">
        <w:rPr>
          <w:rFonts w:ascii="Times New Roman" w:hAnsi="Times New Roman" w:cs="Times New Roman"/>
          <w:noProof/>
          <w:szCs w:val="24"/>
          <w:lang w:val="en-US"/>
        </w:rPr>
        <w:t>[11]</w:t>
      </w:r>
      <w:r w:rsidRPr="00375D02">
        <w:rPr>
          <w:rFonts w:ascii="Times New Roman" w:hAnsi="Times New Roman" w:cs="Times New Roman"/>
          <w:noProof/>
          <w:szCs w:val="24"/>
          <w:lang w:val="en-US"/>
        </w:rPr>
        <w:tab/>
        <w:t xml:space="preserve">A. Bandura, </w:t>
      </w:r>
      <w:r w:rsidRPr="00375D02">
        <w:rPr>
          <w:rFonts w:ascii="Times New Roman" w:hAnsi="Times New Roman" w:cs="Times New Roman"/>
          <w:i/>
          <w:iCs/>
          <w:noProof/>
          <w:szCs w:val="24"/>
          <w:lang w:val="en-US"/>
        </w:rPr>
        <w:t>Social Foundations of Thought and Action: a social cognitive theory</w:t>
      </w:r>
      <w:r w:rsidRPr="00375D02">
        <w:rPr>
          <w:rFonts w:ascii="Times New Roman" w:hAnsi="Times New Roman" w:cs="Times New Roman"/>
          <w:noProof/>
          <w:szCs w:val="24"/>
          <w:lang w:val="en-US"/>
        </w:rPr>
        <w:t>. Englewoof Cliffs, NJ: Prentice Hall, 1986.</w:t>
      </w:r>
    </w:p>
    <w:p w:rsidR="00120F8E" w:rsidRPr="00120F8E" w:rsidRDefault="00120F8E" w:rsidP="00120F8E">
      <w:pPr>
        <w:widowControl w:val="0"/>
        <w:autoSpaceDE w:val="0"/>
        <w:autoSpaceDN w:val="0"/>
        <w:adjustRightInd w:val="0"/>
        <w:spacing w:after="0" w:line="240" w:lineRule="auto"/>
        <w:ind w:left="640" w:hanging="640"/>
        <w:rPr>
          <w:rFonts w:ascii="Times New Roman" w:hAnsi="Times New Roman" w:cs="Times New Roman"/>
          <w:noProof/>
          <w:szCs w:val="24"/>
        </w:rPr>
      </w:pPr>
      <w:r w:rsidRPr="00375D02">
        <w:rPr>
          <w:rFonts w:ascii="Times New Roman" w:hAnsi="Times New Roman" w:cs="Times New Roman"/>
          <w:noProof/>
          <w:szCs w:val="24"/>
          <w:lang w:val="en-US"/>
        </w:rPr>
        <w:t>[12]</w:t>
      </w:r>
      <w:r w:rsidRPr="00375D02">
        <w:rPr>
          <w:rFonts w:ascii="Times New Roman" w:hAnsi="Times New Roman" w:cs="Times New Roman"/>
          <w:noProof/>
          <w:szCs w:val="24"/>
          <w:lang w:val="en-US"/>
        </w:rPr>
        <w:tab/>
        <w:t xml:space="preserve">S. Barua, X. Gao, and M. S. Mannan, “Comparison of prescriptive and performance-based regulatory regimes in the U.S.A and the U.K.,” </w:t>
      </w:r>
      <w:r w:rsidRPr="00375D02">
        <w:rPr>
          <w:rFonts w:ascii="Times New Roman" w:hAnsi="Times New Roman" w:cs="Times New Roman"/>
          <w:i/>
          <w:iCs/>
          <w:noProof/>
          <w:szCs w:val="24"/>
          <w:lang w:val="en-US"/>
        </w:rPr>
        <w:t xml:space="preserve">J. Loss Prev. </w:t>
      </w:r>
      <w:r w:rsidRPr="00120F8E">
        <w:rPr>
          <w:rFonts w:ascii="Times New Roman" w:hAnsi="Times New Roman" w:cs="Times New Roman"/>
          <w:i/>
          <w:iCs/>
          <w:noProof/>
          <w:szCs w:val="24"/>
        </w:rPr>
        <w:t>Process Ind.</w:t>
      </w:r>
      <w:r w:rsidRPr="00120F8E">
        <w:rPr>
          <w:rFonts w:ascii="Times New Roman" w:hAnsi="Times New Roman" w:cs="Times New Roman"/>
          <w:noProof/>
          <w:szCs w:val="24"/>
        </w:rPr>
        <w:t>, vol. 44, pp. 764–769, 2016.</w:t>
      </w:r>
    </w:p>
    <w:p w:rsidR="00486E79" w:rsidRPr="00AB12D6" w:rsidRDefault="00120F8E" w:rsidP="00E667BD">
      <w:pPr>
        <w:widowControl w:val="0"/>
        <w:autoSpaceDE w:val="0"/>
        <w:autoSpaceDN w:val="0"/>
        <w:adjustRightInd w:val="0"/>
        <w:spacing w:after="0" w:line="240" w:lineRule="auto"/>
        <w:ind w:left="640" w:hanging="640"/>
        <w:rPr>
          <w:rFonts w:ascii="Times New Roman" w:hAnsi="Times New Roman" w:cs="Times New Roman"/>
          <w:szCs w:val="24"/>
          <w:lang w:val="en-GB"/>
        </w:rPr>
      </w:pPr>
      <w:r w:rsidRPr="00120F8E">
        <w:rPr>
          <w:rFonts w:ascii="Times New Roman" w:hAnsi="Times New Roman" w:cs="Times New Roman"/>
          <w:noProof/>
          <w:szCs w:val="24"/>
        </w:rPr>
        <w:lastRenderedPageBreak/>
        <w:t>[13]</w:t>
      </w:r>
      <w:r w:rsidRPr="00120F8E">
        <w:rPr>
          <w:rFonts w:ascii="Times New Roman" w:hAnsi="Times New Roman" w:cs="Times New Roman"/>
          <w:noProof/>
          <w:szCs w:val="24"/>
        </w:rPr>
        <w:tab/>
        <w:t xml:space="preserve">ANP, “Indicadores de desempenho anuais.” [Online]. </w:t>
      </w:r>
      <w:r w:rsidRPr="00375D02">
        <w:rPr>
          <w:rFonts w:ascii="Times New Roman" w:hAnsi="Times New Roman" w:cs="Times New Roman"/>
          <w:noProof/>
          <w:szCs w:val="24"/>
          <w:lang w:val="fr-FR"/>
        </w:rPr>
        <w:t xml:space="preserve">Available: http://www.anp.gov.br/exploracao-e-producao-de-oleo-e-gas/seguranca-operacional-e-meio-ambiente/dados-de-desempenho/indicadores-de-desempenho. </w:t>
      </w:r>
      <w:r w:rsidRPr="00120F8E">
        <w:rPr>
          <w:rFonts w:ascii="Times New Roman" w:hAnsi="Times New Roman" w:cs="Times New Roman"/>
          <w:noProof/>
          <w:szCs w:val="24"/>
        </w:rPr>
        <w:t>[Accessed: 03-Jan-2019].</w:t>
      </w:r>
      <w:r w:rsidR="007D0BCA">
        <w:rPr>
          <w:rFonts w:ascii="Times New Roman" w:hAnsi="Times New Roman" w:cs="Times New Roman"/>
          <w:szCs w:val="24"/>
          <w:lang w:val="en-GB"/>
        </w:rPr>
        <w:fldChar w:fldCharType="end"/>
      </w:r>
    </w:p>
    <w:sectPr w:rsidR="00486E79" w:rsidRPr="00AB12D6" w:rsidSect="00DC766A">
      <w:headerReference w:type="default" r:id="rId10"/>
      <w:headerReference w:type="first" r:id="rId11"/>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783" w:rsidRDefault="003F2783" w:rsidP="00BB52FE">
      <w:pPr>
        <w:spacing w:after="0" w:line="240" w:lineRule="auto"/>
      </w:pPr>
      <w:r>
        <w:separator/>
      </w:r>
    </w:p>
  </w:endnote>
  <w:endnote w:type="continuationSeparator" w:id="1">
    <w:p w:rsidR="003F2783" w:rsidRDefault="003F2783"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783" w:rsidRDefault="003F2783" w:rsidP="00BB52FE">
      <w:pPr>
        <w:spacing w:after="0" w:line="240" w:lineRule="auto"/>
      </w:pPr>
      <w:r>
        <w:separator/>
      </w:r>
    </w:p>
  </w:footnote>
  <w:footnote w:type="continuationSeparator" w:id="1">
    <w:p w:rsidR="003F2783" w:rsidRDefault="003F2783"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pPr>
      <w:pStyle w:val="Cabealho"/>
    </w:pPr>
    <w:r>
      <w:rPr>
        <w:rFonts w:ascii="Times New Roman" w:hAnsi="Times New Roman" w:cs="Times New Roman"/>
        <w:noProof/>
        <w:lang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444" w:rsidRDefault="00B97444" w:rsidP="00483DC2">
    <w:pPr>
      <w:pStyle w:val="Cabealho"/>
    </w:pPr>
    <w:r>
      <w:rPr>
        <w:rFonts w:ascii="Times New Roman" w:hAnsi="Times New Roman" w:cs="Times New Roman"/>
        <w:noProof/>
        <w:lang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
  <w:p w:rsidR="00B97444" w:rsidRDefault="00B9744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11D37"/>
    <w:multiLevelType w:val="hybridMultilevel"/>
    <w:tmpl w:val="59769A5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5AD490F"/>
    <w:multiLevelType w:val="hybridMultilevel"/>
    <w:tmpl w:val="23CEFA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A1134C1"/>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AA602D4"/>
    <w:multiLevelType w:val="hybridMultilevel"/>
    <w:tmpl w:val="67DCC18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FE515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5">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AFD41D6"/>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11"/>
  </w:num>
  <w:num w:numId="3">
    <w:abstractNumId w:val="17"/>
  </w:num>
  <w:num w:numId="4">
    <w:abstractNumId w:val="15"/>
  </w:num>
  <w:num w:numId="5">
    <w:abstractNumId w:val="19"/>
  </w:num>
  <w:num w:numId="6">
    <w:abstractNumId w:val="5"/>
  </w:num>
  <w:num w:numId="7">
    <w:abstractNumId w:val="2"/>
  </w:num>
  <w:num w:numId="8">
    <w:abstractNumId w:val="14"/>
  </w:num>
  <w:num w:numId="9">
    <w:abstractNumId w:val="1"/>
  </w:num>
  <w:num w:numId="10">
    <w:abstractNumId w:val="13"/>
  </w:num>
  <w:num w:numId="11">
    <w:abstractNumId w:val="3"/>
  </w:num>
  <w:num w:numId="12">
    <w:abstractNumId w:val="16"/>
  </w:num>
  <w:num w:numId="13">
    <w:abstractNumId w:val="7"/>
  </w:num>
  <w:num w:numId="14">
    <w:abstractNumId w:val="12"/>
  </w:num>
  <w:num w:numId="15">
    <w:abstractNumId w:val="18"/>
  </w:num>
  <w:num w:numId="16">
    <w:abstractNumId w:val="10"/>
  </w:num>
  <w:num w:numId="17">
    <w:abstractNumId w:val="0"/>
  </w:num>
  <w:num w:numId="18">
    <w:abstractNumId w:val="9"/>
  </w:num>
  <w:num w:numId="19">
    <w:abstractNumId w:val="6"/>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24909"/>
    <w:rsid w:val="000327DC"/>
    <w:rsid w:val="00042012"/>
    <w:rsid w:val="00043753"/>
    <w:rsid w:val="00056559"/>
    <w:rsid w:val="00073457"/>
    <w:rsid w:val="00080665"/>
    <w:rsid w:val="00082556"/>
    <w:rsid w:val="0008404E"/>
    <w:rsid w:val="000A6164"/>
    <w:rsid w:val="000A7251"/>
    <w:rsid w:val="000C199C"/>
    <w:rsid w:val="000D25CA"/>
    <w:rsid w:val="000E5CBB"/>
    <w:rsid w:val="000E6034"/>
    <w:rsid w:val="000F28BE"/>
    <w:rsid w:val="00120726"/>
    <w:rsid w:val="00120F8E"/>
    <w:rsid w:val="001403DA"/>
    <w:rsid w:val="0014560C"/>
    <w:rsid w:val="0016082D"/>
    <w:rsid w:val="00161795"/>
    <w:rsid w:val="00170E2A"/>
    <w:rsid w:val="00173B06"/>
    <w:rsid w:val="00184DEA"/>
    <w:rsid w:val="001B1E02"/>
    <w:rsid w:val="001B232E"/>
    <w:rsid w:val="001B74BD"/>
    <w:rsid w:val="001D08CA"/>
    <w:rsid w:val="001D0DE2"/>
    <w:rsid w:val="001D24B1"/>
    <w:rsid w:val="001E414E"/>
    <w:rsid w:val="001F51AD"/>
    <w:rsid w:val="001F5C6A"/>
    <w:rsid w:val="002009D5"/>
    <w:rsid w:val="00204F0B"/>
    <w:rsid w:val="00204F13"/>
    <w:rsid w:val="00207707"/>
    <w:rsid w:val="00221EE9"/>
    <w:rsid w:val="00257FA3"/>
    <w:rsid w:val="0026458C"/>
    <w:rsid w:val="00264671"/>
    <w:rsid w:val="00266034"/>
    <w:rsid w:val="00271A86"/>
    <w:rsid w:val="002806C6"/>
    <w:rsid w:val="00282D93"/>
    <w:rsid w:val="00284BAB"/>
    <w:rsid w:val="00290742"/>
    <w:rsid w:val="002A1AE3"/>
    <w:rsid w:val="002A4355"/>
    <w:rsid w:val="002B0212"/>
    <w:rsid w:val="002B1C67"/>
    <w:rsid w:val="002C2B3F"/>
    <w:rsid w:val="002C3A9E"/>
    <w:rsid w:val="002C68C0"/>
    <w:rsid w:val="002E3A02"/>
    <w:rsid w:val="002E3CDD"/>
    <w:rsid w:val="002F3AFE"/>
    <w:rsid w:val="003051FE"/>
    <w:rsid w:val="00307776"/>
    <w:rsid w:val="003113ED"/>
    <w:rsid w:val="00317CE6"/>
    <w:rsid w:val="00336903"/>
    <w:rsid w:val="00373302"/>
    <w:rsid w:val="00375D02"/>
    <w:rsid w:val="00384B1A"/>
    <w:rsid w:val="0039740A"/>
    <w:rsid w:val="00397432"/>
    <w:rsid w:val="003A3CE0"/>
    <w:rsid w:val="003A6E79"/>
    <w:rsid w:val="003C1003"/>
    <w:rsid w:val="003C115D"/>
    <w:rsid w:val="003E1F15"/>
    <w:rsid w:val="003F2783"/>
    <w:rsid w:val="00405086"/>
    <w:rsid w:val="004162A1"/>
    <w:rsid w:val="00426A11"/>
    <w:rsid w:val="00441643"/>
    <w:rsid w:val="00460B1C"/>
    <w:rsid w:val="00460E5C"/>
    <w:rsid w:val="00472303"/>
    <w:rsid w:val="00474562"/>
    <w:rsid w:val="00483DC2"/>
    <w:rsid w:val="00486E79"/>
    <w:rsid w:val="00490CAB"/>
    <w:rsid w:val="004A2BEC"/>
    <w:rsid w:val="004A7C59"/>
    <w:rsid w:val="004A7DF0"/>
    <w:rsid w:val="004B6CE3"/>
    <w:rsid w:val="004D6CE5"/>
    <w:rsid w:val="004E33EC"/>
    <w:rsid w:val="0050130B"/>
    <w:rsid w:val="00501C39"/>
    <w:rsid w:val="00523B01"/>
    <w:rsid w:val="0053629A"/>
    <w:rsid w:val="00537364"/>
    <w:rsid w:val="00541FAF"/>
    <w:rsid w:val="005465EB"/>
    <w:rsid w:val="00572985"/>
    <w:rsid w:val="00574D0D"/>
    <w:rsid w:val="0057601E"/>
    <w:rsid w:val="00576933"/>
    <w:rsid w:val="00583E1C"/>
    <w:rsid w:val="00590F07"/>
    <w:rsid w:val="005B351F"/>
    <w:rsid w:val="005B432C"/>
    <w:rsid w:val="005B58F3"/>
    <w:rsid w:val="005E36F4"/>
    <w:rsid w:val="005F1C0D"/>
    <w:rsid w:val="005F2E29"/>
    <w:rsid w:val="005F3E9D"/>
    <w:rsid w:val="005F41DF"/>
    <w:rsid w:val="005F7323"/>
    <w:rsid w:val="00600E2F"/>
    <w:rsid w:val="00615428"/>
    <w:rsid w:val="006257BC"/>
    <w:rsid w:val="00630AE9"/>
    <w:rsid w:val="00630C23"/>
    <w:rsid w:val="006311E0"/>
    <w:rsid w:val="00661341"/>
    <w:rsid w:val="00665485"/>
    <w:rsid w:val="00687B87"/>
    <w:rsid w:val="00690A68"/>
    <w:rsid w:val="006C1122"/>
    <w:rsid w:val="006C2639"/>
    <w:rsid w:val="006D245C"/>
    <w:rsid w:val="006D28BF"/>
    <w:rsid w:val="006D5AF1"/>
    <w:rsid w:val="006E1B6B"/>
    <w:rsid w:val="006E263E"/>
    <w:rsid w:val="006F3BC4"/>
    <w:rsid w:val="00701A56"/>
    <w:rsid w:val="00710644"/>
    <w:rsid w:val="00711E18"/>
    <w:rsid w:val="0071764C"/>
    <w:rsid w:val="00724C7D"/>
    <w:rsid w:val="00726B2F"/>
    <w:rsid w:val="00742BB1"/>
    <w:rsid w:val="00745CED"/>
    <w:rsid w:val="00764285"/>
    <w:rsid w:val="00767B72"/>
    <w:rsid w:val="00770BBA"/>
    <w:rsid w:val="00772DAD"/>
    <w:rsid w:val="00777111"/>
    <w:rsid w:val="00780694"/>
    <w:rsid w:val="0078428A"/>
    <w:rsid w:val="007C410A"/>
    <w:rsid w:val="007D0BCA"/>
    <w:rsid w:val="007D6EBF"/>
    <w:rsid w:val="008050D9"/>
    <w:rsid w:val="0080691B"/>
    <w:rsid w:val="008155B5"/>
    <w:rsid w:val="008326C3"/>
    <w:rsid w:val="00856A7D"/>
    <w:rsid w:val="00860CFD"/>
    <w:rsid w:val="00861D41"/>
    <w:rsid w:val="008A2C61"/>
    <w:rsid w:val="008A7A7B"/>
    <w:rsid w:val="008B44AF"/>
    <w:rsid w:val="008D42D4"/>
    <w:rsid w:val="008E35FD"/>
    <w:rsid w:val="008F3D8C"/>
    <w:rsid w:val="008F5718"/>
    <w:rsid w:val="009242BE"/>
    <w:rsid w:val="00933916"/>
    <w:rsid w:val="00956142"/>
    <w:rsid w:val="009704BA"/>
    <w:rsid w:val="0097302A"/>
    <w:rsid w:val="0097336A"/>
    <w:rsid w:val="00977F44"/>
    <w:rsid w:val="009909FA"/>
    <w:rsid w:val="00990D2C"/>
    <w:rsid w:val="009C3D18"/>
    <w:rsid w:val="009D4466"/>
    <w:rsid w:val="009F08C7"/>
    <w:rsid w:val="009F0BF2"/>
    <w:rsid w:val="00A10018"/>
    <w:rsid w:val="00A31FF8"/>
    <w:rsid w:val="00A36781"/>
    <w:rsid w:val="00A42046"/>
    <w:rsid w:val="00A4639B"/>
    <w:rsid w:val="00A4649C"/>
    <w:rsid w:val="00A53D41"/>
    <w:rsid w:val="00A5563A"/>
    <w:rsid w:val="00A675D8"/>
    <w:rsid w:val="00A743C4"/>
    <w:rsid w:val="00AA0BED"/>
    <w:rsid w:val="00AB0A10"/>
    <w:rsid w:val="00AB12D6"/>
    <w:rsid w:val="00AC4989"/>
    <w:rsid w:val="00AC70B3"/>
    <w:rsid w:val="00AE08EE"/>
    <w:rsid w:val="00AE5369"/>
    <w:rsid w:val="00AF130F"/>
    <w:rsid w:val="00B10F92"/>
    <w:rsid w:val="00B14736"/>
    <w:rsid w:val="00B15494"/>
    <w:rsid w:val="00B234EC"/>
    <w:rsid w:val="00B235C8"/>
    <w:rsid w:val="00B23B18"/>
    <w:rsid w:val="00B324C0"/>
    <w:rsid w:val="00B377AF"/>
    <w:rsid w:val="00B41D9D"/>
    <w:rsid w:val="00B46757"/>
    <w:rsid w:val="00B46CB7"/>
    <w:rsid w:val="00B63730"/>
    <w:rsid w:val="00B67A49"/>
    <w:rsid w:val="00B67FEF"/>
    <w:rsid w:val="00B728AC"/>
    <w:rsid w:val="00B917D4"/>
    <w:rsid w:val="00B957C6"/>
    <w:rsid w:val="00B97444"/>
    <w:rsid w:val="00B97E68"/>
    <w:rsid w:val="00BA4E7E"/>
    <w:rsid w:val="00BB188E"/>
    <w:rsid w:val="00BB52FE"/>
    <w:rsid w:val="00BC1F67"/>
    <w:rsid w:val="00BF3396"/>
    <w:rsid w:val="00C06685"/>
    <w:rsid w:val="00C102C7"/>
    <w:rsid w:val="00C10990"/>
    <w:rsid w:val="00C145AB"/>
    <w:rsid w:val="00C20157"/>
    <w:rsid w:val="00C27B36"/>
    <w:rsid w:val="00C37054"/>
    <w:rsid w:val="00C5357E"/>
    <w:rsid w:val="00C61F09"/>
    <w:rsid w:val="00C62D73"/>
    <w:rsid w:val="00C72851"/>
    <w:rsid w:val="00C75810"/>
    <w:rsid w:val="00C80D55"/>
    <w:rsid w:val="00CA44D9"/>
    <w:rsid w:val="00CB006B"/>
    <w:rsid w:val="00CB7AA5"/>
    <w:rsid w:val="00CE09E1"/>
    <w:rsid w:val="00D00D94"/>
    <w:rsid w:val="00D0326A"/>
    <w:rsid w:val="00D10629"/>
    <w:rsid w:val="00D162E0"/>
    <w:rsid w:val="00D228EE"/>
    <w:rsid w:val="00D27B25"/>
    <w:rsid w:val="00D30605"/>
    <w:rsid w:val="00D35C89"/>
    <w:rsid w:val="00D42FC0"/>
    <w:rsid w:val="00D65CBD"/>
    <w:rsid w:val="00D70F06"/>
    <w:rsid w:val="00D7330E"/>
    <w:rsid w:val="00D754E7"/>
    <w:rsid w:val="00D77725"/>
    <w:rsid w:val="00D82562"/>
    <w:rsid w:val="00D839C8"/>
    <w:rsid w:val="00DA2DD0"/>
    <w:rsid w:val="00DB4F86"/>
    <w:rsid w:val="00DC766A"/>
    <w:rsid w:val="00DE24D9"/>
    <w:rsid w:val="00DE7BDC"/>
    <w:rsid w:val="00E01E00"/>
    <w:rsid w:val="00E0491D"/>
    <w:rsid w:val="00E055D8"/>
    <w:rsid w:val="00E13931"/>
    <w:rsid w:val="00E377A7"/>
    <w:rsid w:val="00E667BD"/>
    <w:rsid w:val="00E71D62"/>
    <w:rsid w:val="00EB1B8E"/>
    <w:rsid w:val="00ED6CAA"/>
    <w:rsid w:val="00ED724E"/>
    <w:rsid w:val="00F27B4C"/>
    <w:rsid w:val="00F317FA"/>
    <w:rsid w:val="00F32BA2"/>
    <w:rsid w:val="00F35FF2"/>
    <w:rsid w:val="00F405CC"/>
    <w:rsid w:val="00F46BB1"/>
    <w:rsid w:val="00F470F9"/>
    <w:rsid w:val="00F81902"/>
    <w:rsid w:val="00FA4939"/>
    <w:rsid w:val="00FB340B"/>
    <w:rsid w:val="00FB69E2"/>
    <w:rsid w:val="00FD00BD"/>
    <w:rsid w:val="00FD53FD"/>
    <w:rsid w:val="00FF06ED"/>
    <w:rsid w:val="00FF37FA"/>
    <w:rsid w:val="00FF5126"/>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BCA"/>
    <w:rPr>
      <w:lang w:val="pt-BR"/>
    </w:rPr>
  </w:style>
  <w:style w:type="paragraph" w:styleId="Ttulo1">
    <w:name w:val="heading 1"/>
    <w:basedOn w:val="Normal"/>
    <w:next w:val="Normal"/>
    <w:link w:val="Ttulo1Char"/>
    <w:uiPriority w:val="9"/>
    <w:qFormat/>
    <w:rsid w:val="00A42046"/>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har"/>
    <w:uiPriority w:val="9"/>
    <w:unhideWhenUsed/>
    <w:qFormat/>
    <w:rsid w:val="00A42046"/>
    <w:pPr>
      <w:keepNext/>
      <w:keepLines/>
      <w:spacing w:before="200" w:after="0"/>
      <w:outlineLvl w:val="1"/>
    </w:pPr>
    <w:rPr>
      <w:rFonts w:ascii="Times New Roman" w:eastAsiaTheme="majorEastAsia" w:hAnsi="Times New Roman" w:cstheme="majorBidi"/>
      <w:b/>
      <w:bCs/>
      <w:sz w:val="24"/>
      <w:szCs w:val="26"/>
    </w:rPr>
  </w:style>
  <w:style w:type="paragraph" w:styleId="Ttulo3">
    <w:name w:val="heading 3"/>
    <w:basedOn w:val="Normal"/>
    <w:next w:val="Normal"/>
    <w:link w:val="Ttulo3Char"/>
    <w:uiPriority w:val="9"/>
    <w:unhideWhenUsed/>
    <w:qFormat/>
    <w:rsid w:val="00D30605"/>
    <w:pPr>
      <w:keepNext/>
      <w:keepLines/>
      <w:spacing w:before="200" w:after="0"/>
      <w:outlineLvl w:val="2"/>
    </w:pPr>
    <w:rPr>
      <w:rFonts w:ascii="Times New Roman" w:eastAsiaTheme="majorEastAsia" w:hAnsi="Times New Roman" w:cstheme="majorBidi"/>
      <w:b/>
      <w:bCs/>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table" w:customStyle="1" w:styleId="Tabelacomgrade1">
    <w:name w:val="Tabela com grade1"/>
    <w:basedOn w:val="Tabelanormal"/>
    <w:next w:val="Tabelacomgrade"/>
    <w:uiPriority w:val="59"/>
    <w:rsid w:val="00767B72"/>
    <w:pPr>
      <w:spacing w:after="0" w:line="240" w:lineRule="auto"/>
    </w:pPr>
    <w:rPr>
      <w:rFonts w:ascii="Calibri" w:eastAsia="Calibri" w:hAnsi="Calibri" w:cs="Times New Roman"/>
      <w:lang w:val="es-C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
    <w:next w:val="Normal"/>
    <w:uiPriority w:val="35"/>
    <w:unhideWhenUsed/>
    <w:qFormat/>
    <w:rsid w:val="000A6164"/>
    <w:pPr>
      <w:spacing w:after="200" w:line="240" w:lineRule="auto"/>
    </w:pPr>
    <w:rPr>
      <w:b/>
      <w:bCs/>
      <w:color w:val="5B9BD5" w:themeColor="accent1"/>
      <w:sz w:val="18"/>
      <w:szCs w:val="18"/>
    </w:rPr>
  </w:style>
  <w:style w:type="character" w:customStyle="1" w:styleId="Ttulo1Char">
    <w:name w:val="Título 1 Char"/>
    <w:basedOn w:val="Fontepargpadro"/>
    <w:link w:val="Ttulo1"/>
    <w:uiPriority w:val="9"/>
    <w:rsid w:val="00A42046"/>
    <w:rPr>
      <w:rFonts w:ascii="Times New Roman" w:eastAsiaTheme="majorEastAsia" w:hAnsi="Times New Roman" w:cstheme="majorBidi"/>
      <w:b/>
      <w:bCs/>
      <w:sz w:val="24"/>
      <w:szCs w:val="28"/>
      <w:lang w:val="pt-BR"/>
    </w:rPr>
  </w:style>
  <w:style w:type="character" w:customStyle="1" w:styleId="Ttulo2Char">
    <w:name w:val="Título 2 Char"/>
    <w:basedOn w:val="Fontepargpadro"/>
    <w:link w:val="Ttulo2"/>
    <w:uiPriority w:val="9"/>
    <w:rsid w:val="00A42046"/>
    <w:rPr>
      <w:rFonts w:ascii="Times New Roman" w:eastAsiaTheme="majorEastAsia" w:hAnsi="Times New Roman" w:cstheme="majorBidi"/>
      <w:b/>
      <w:bCs/>
      <w:sz w:val="24"/>
      <w:szCs w:val="26"/>
      <w:lang w:val="pt-BR"/>
    </w:rPr>
  </w:style>
  <w:style w:type="character" w:customStyle="1" w:styleId="Ttulo3Char">
    <w:name w:val="Título 3 Char"/>
    <w:basedOn w:val="Fontepargpadro"/>
    <w:link w:val="Ttulo3"/>
    <w:uiPriority w:val="9"/>
    <w:rsid w:val="00D30605"/>
    <w:rPr>
      <w:rFonts w:ascii="Times New Roman" w:eastAsiaTheme="majorEastAsia" w:hAnsi="Times New Roman" w:cstheme="majorBidi"/>
      <w:b/>
      <w:bCs/>
      <w:sz w:val="24"/>
      <w:lang w:val="pt-BR"/>
    </w:rPr>
  </w:style>
  <w:style w:type="character" w:styleId="Hyperlink">
    <w:name w:val="Hyperlink"/>
    <w:basedOn w:val="Fontepargpadro"/>
    <w:uiPriority w:val="99"/>
    <w:semiHidden/>
    <w:unhideWhenUsed/>
    <w:rsid w:val="001B1E02"/>
    <w:rPr>
      <w:color w:val="0000FF"/>
      <w:u w:val="single"/>
    </w:rPr>
  </w:style>
  <w:style w:type="character" w:styleId="HiperlinkVisitado">
    <w:name w:val="FollowedHyperlink"/>
    <w:basedOn w:val="Fontepargpadro"/>
    <w:uiPriority w:val="99"/>
    <w:semiHidden/>
    <w:unhideWhenUsed/>
    <w:rsid w:val="006D28BF"/>
    <w:rPr>
      <w:color w:val="954F72" w:themeColor="followedHyperlink"/>
      <w:u w:val="single"/>
    </w:rPr>
  </w:style>
  <w:style w:type="paragraph" w:styleId="Recuodecorpodetexto">
    <w:name w:val="Body Text Indent"/>
    <w:basedOn w:val="Normal"/>
    <w:link w:val="RecuodecorpodetextoChar"/>
    <w:rsid w:val="005E36F4"/>
    <w:pPr>
      <w:suppressAutoHyphens/>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kern w:val="14"/>
      <w:sz w:val="20"/>
      <w:szCs w:val="20"/>
      <w:lang w:val="en-US"/>
    </w:rPr>
  </w:style>
  <w:style w:type="character" w:customStyle="1" w:styleId="RecuodecorpodetextoChar">
    <w:name w:val="Recuo de corpo de texto Char"/>
    <w:basedOn w:val="Fontepargpadro"/>
    <w:link w:val="Recuodecorpodetexto"/>
    <w:rsid w:val="005E36F4"/>
    <w:rPr>
      <w:rFonts w:ascii="Times New Roman" w:eastAsia="Times New Roman" w:hAnsi="Times New Roman" w:cs="Times New Roman"/>
      <w:kern w:val="14"/>
      <w:sz w:val="20"/>
      <w:szCs w:val="20"/>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521166955">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0109C-DF27-43AB-87D9-CF7B51776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4749</Words>
  <Characters>25650</Characters>
  <Application>Microsoft Office Word</Application>
  <DocSecurity>4</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30339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2019-12-13T19:17:00Z</dcterms:created>
  <dcterms:modified xsi:type="dcterms:W3CDTF">2019-12-13T19:17:00Z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http://csl.mendeley.com/styles/510114841/american-society-of-mechanical-engineers</vt:lpwstr>
  </property>
  <property fmtid="{D5CDD505-2E9C-101B-9397-08002B2CF9AE}" pid="18" name="Mendeley Recent Style Name 3_1">
    <vt:lpwstr>American Society of Mechanical Engineers - Danilo Abreu</vt:lpwstr>
  </property>
  <property fmtid="{D5CDD505-2E9C-101B-9397-08002B2CF9AE}" pid="19" name="Mendeley Recent Style Id 4_1">
    <vt:lpwstr>http://www.zotero.org/styles/american-sociological-association</vt:lpwstr>
  </property>
  <property fmtid="{D5CDD505-2E9C-101B-9397-08002B2CF9AE}" pid="20" name="Mendeley Recent Style Name 4_1">
    <vt:lpwstr>American Sociological Association</vt:lpwstr>
  </property>
  <property fmtid="{D5CDD505-2E9C-101B-9397-08002B2CF9AE}" pid="21" name="Mendeley Recent Style Id 5_1">
    <vt:lpwstr>http://www.zotero.org/styles/applied-ocean-research</vt:lpwstr>
  </property>
  <property fmtid="{D5CDD505-2E9C-101B-9397-08002B2CF9AE}" pid="22" name="Mendeley Recent Style Name 5_1">
    <vt:lpwstr>Applied Ocean Research</vt:lpwstr>
  </property>
  <property fmtid="{D5CDD505-2E9C-101B-9397-08002B2CF9AE}" pid="23" name="Mendeley Recent Style Id 6_1">
    <vt:lpwstr>http://www.zotero.org/styles/chicago-author-date</vt:lpwstr>
  </property>
  <property fmtid="{D5CDD505-2E9C-101B-9397-08002B2CF9AE}" pid="24" name="Mendeley Recent Style Name 6_1">
    <vt:lpwstr>Chicago Manual of Style 17th edition (author-date)</vt:lpwstr>
  </property>
  <property fmtid="{D5CDD505-2E9C-101B-9397-08002B2CF9AE}" pid="25" name="Mendeley Recent Style Id 7_1">
    <vt:lpwstr>http://www.zotero.org/styles/harvard-cite-them-right</vt:lpwstr>
  </property>
  <property fmtid="{D5CDD505-2E9C-101B-9397-08002B2CF9AE}" pid="26" name="Mendeley Recent Style Name 7_1">
    <vt:lpwstr>Cite Them Right 10th edition - Harvard</vt:lpwstr>
  </property>
  <property fmtid="{D5CDD505-2E9C-101B-9397-08002B2CF9AE}" pid="27" name="Mendeley Recent Style Id 8_1">
    <vt:lpwstr>http://www.zotero.org/styles/ieee</vt:lpwstr>
  </property>
  <property fmtid="{D5CDD505-2E9C-101B-9397-08002B2CF9AE}" pid="28" name="Mendeley Recent Style Name 8_1">
    <vt:lpwstr>IEEE</vt:lpwstr>
  </property>
  <property fmtid="{D5CDD505-2E9C-101B-9397-08002B2CF9AE}" pid="29" name="Mendeley Recent Style Id 9_1">
    <vt:lpwstr>http://www.zotero.org/styles/modern-language-association</vt:lpwstr>
  </property>
  <property fmtid="{D5CDD505-2E9C-101B-9397-08002B2CF9AE}" pid="30" name="Mendeley Recent Style Name 9_1">
    <vt:lpwstr>Modern Language Association 8th edition</vt:lpwstr>
  </property>
  <property fmtid="{D5CDD505-2E9C-101B-9397-08002B2CF9AE}" pid="31" name="Mendeley Document_1">
    <vt:lpwstr>True</vt:lpwstr>
  </property>
  <property fmtid="{D5CDD505-2E9C-101B-9397-08002B2CF9AE}" pid="32" name="Mendeley Unique User Id_1">
    <vt:lpwstr>995341fc-dc54-336f-bfef-96b61bacfff2</vt:lpwstr>
  </property>
  <property fmtid="{D5CDD505-2E9C-101B-9397-08002B2CF9AE}" pid="33" name="Mendeley Citation Style_1">
    <vt:lpwstr>http://www.zotero.org/styles/ieee</vt:lpwstr>
  </property>
</Properties>
</file>